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D5B0" w14:textId="24222366" w:rsidR="000D4044" w:rsidRDefault="00F660B0">
      <w:r w:rsidRPr="00F660B0">
        <w:rPr>
          <w:rFonts w:ascii="Calibri" w:eastAsia="Calibri" w:hAnsi="Calibri" w:cs="Times New Roman"/>
          <w:noProof/>
        </w:rPr>
        <w:drawing>
          <wp:inline distT="0" distB="0" distL="0" distR="0" wp14:anchorId="4CB4CC08" wp14:editId="1D906031">
            <wp:extent cx="5486400" cy="7968615"/>
            <wp:effectExtent l="0" t="0" r="0" b="0"/>
            <wp:docPr id="7097890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86400" cy="7968615"/>
                    </a:xfrm>
                    <a:prstGeom prst="rect">
                      <a:avLst/>
                    </a:prstGeom>
                    <a:noFill/>
                    <a:ln>
                      <a:noFill/>
                    </a:ln>
                  </pic:spPr>
                </pic:pic>
              </a:graphicData>
            </a:graphic>
          </wp:inline>
        </w:drawing>
      </w:r>
    </w:p>
    <w:p w14:paraId="587C119E" w14:textId="77777777" w:rsidR="00F660B0" w:rsidRDefault="00F660B0"/>
    <w:p w14:paraId="27F33073" w14:textId="77777777" w:rsidR="00F660B0" w:rsidRDefault="00F660B0"/>
    <w:p w14:paraId="784C6AA0" w14:textId="77777777" w:rsidR="00F660B0" w:rsidRPr="00AF4522" w:rsidRDefault="00F660B0" w:rsidP="00F660B0">
      <w:pPr>
        <w:pStyle w:val="ListParagraph"/>
        <w:numPr>
          <w:ilvl w:val="0"/>
          <w:numId w:val="1"/>
        </w:numPr>
        <w:ind w:left="284"/>
      </w:pPr>
      <w:r>
        <w:rPr>
          <w:lang w:val="el-GR"/>
        </w:rPr>
        <w:t>ΕΙΣΑΓΩΓΗ</w:t>
      </w:r>
    </w:p>
    <w:p w14:paraId="26A37416" w14:textId="77777777" w:rsidR="00F660B0" w:rsidRPr="008D3079" w:rsidRDefault="00F660B0" w:rsidP="00F660B0">
      <w:pPr>
        <w:pStyle w:val="ListParagraph"/>
        <w:ind w:left="284"/>
      </w:pPr>
    </w:p>
    <w:p w14:paraId="67A9427C" w14:textId="77777777" w:rsidR="00F660B0" w:rsidRPr="00AF4522" w:rsidRDefault="00F660B0" w:rsidP="00F660B0">
      <w:pPr>
        <w:pStyle w:val="ListParagraph"/>
        <w:numPr>
          <w:ilvl w:val="0"/>
          <w:numId w:val="1"/>
        </w:numPr>
        <w:ind w:left="284"/>
      </w:pPr>
      <w:r>
        <w:rPr>
          <w:lang w:val="el-GR"/>
        </w:rPr>
        <w:t>ΝΟΜΟΘΕΤΙΚΟ ΠΛΑΙΣΙΟ</w:t>
      </w:r>
    </w:p>
    <w:p w14:paraId="63688EB9" w14:textId="77777777" w:rsidR="00F660B0" w:rsidRPr="008D3079" w:rsidRDefault="00F660B0" w:rsidP="00F660B0">
      <w:pPr>
        <w:ind w:left="0"/>
      </w:pPr>
    </w:p>
    <w:p w14:paraId="3D383CD4" w14:textId="77777777" w:rsidR="00F660B0" w:rsidRDefault="00F660B0" w:rsidP="00F660B0">
      <w:pPr>
        <w:pStyle w:val="ListParagraph"/>
        <w:numPr>
          <w:ilvl w:val="0"/>
          <w:numId w:val="1"/>
        </w:numPr>
        <w:ind w:left="284"/>
        <w:rPr>
          <w:lang w:val="el-GR"/>
        </w:rPr>
      </w:pPr>
      <w:r>
        <w:rPr>
          <w:lang w:val="el-GR"/>
        </w:rPr>
        <w:t>ΝΟΜΟΙ &amp; ΚΑΝΟΝΙΣΜΟΙ ΔΕΛΤΙΩΝ ΥΓΕΙΑΣ ΑΘΛΗΤΩΝ ΚΟΑ</w:t>
      </w:r>
    </w:p>
    <w:p w14:paraId="318260E4" w14:textId="77777777" w:rsidR="00F660B0" w:rsidRPr="008D3079" w:rsidRDefault="00F660B0" w:rsidP="00F660B0">
      <w:pPr>
        <w:pStyle w:val="ListParagraph"/>
        <w:numPr>
          <w:ilvl w:val="1"/>
          <w:numId w:val="1"/>
        </w:numPr>
        <w:rPr>
          <w:lang w:val="el-GR"/>
        </w:rPr>
      </w:pPr>
      <w:r w:rsidRPr="008D3079">
        <w:rPr>
          <w:lang w:val="el-GR"/>
        </w:rPr>
        <w:t>Τμήμα Δελτίων Υγείας</w:t>
      </w:r>
    </w:p>
    <w:p w14:paraId="71CBD66E" w14:textId="77777777" w:rsidR="00F660B0" w:rsidRDefault="00F660B0" w:rsidP="00F660B0">
      <w:pPr>
        <w:pStyle w:val="ListParagraph"/>
        <w:numPr>
          <w:ilvl w:val="1"/>
          <w:numId w:val="1"/>
        </w:numPr>
        <w:rPr>
          <w:lang w:val="el-GR"/>
        </w:rPr>
      </w:pPr>
      <w:r>
        <w:rPr>
          <w:lang w:val="el-GR"/>
        </w:rPr>
        <w:t>Αποστολή</w:t>
      </w:r>
    </w:p>
    <w:p w14:paraId="33EE1E5E" w14:textId="77777777" w:rsidR="00F660B0" w:rsidRDefault="00F660B0" w:rsidP="00F660B0">
      <w:pPr>
        <w:pStyle w:val="ListParagraph"/>
        <w:numPr>
          <w:ilvl w:val="1"/>
          <w:numId w:val="1"/>
        </w:numPr>
        <w:rPr>
          <w:lang w:val="el-GR"/>
        </w:rPr>
      </w:pPr>
      <w:r>
        <w:rPr>
          <w:lang w:val="el-GR"/>
        </w:rPr>
        <w:t>Νομοθεσία &amp; Κανονισμοί</w:t>
      </w:r>
    </w:p>
    <w:p w14:paraId="510FBEE9" w14:textId="77777777" w:rsidR="00F660B0" w:rsidRDefault="00F660B0" w:rsidP="00F660B0">
      <w:pPr>
        <w:pStyle w:val="ListParagraph"/>
        <w:numPr>
          <w:ilvl w:val="1"/>
          <w:numId w:val="1"/>
        </w:numPr>
        <w:rPr>
          <w:lang w:val="el-GR"/>
        </w:rPr>
      </w:pPr>
      <w:r>
        <w:rPr>
          <w:lang w:val="el-GR"/>
        </w:rPr>
        <w:t>Ανώτατο Συμβούλιο Υγείας Αθλητών (ΑΣΥΑ) &amp; Ιατρικές Επιτροπές Αξιολόγησης Δελτίων Υγείας</w:t>
      </w:r>
    </w:p>
    <w:p w14:paraId="641BC46A" w14:textId="77777777" w:rsidR="00F660B0" w:rsidRDefault="00F660B0" w:rsidP="00F660B0">
      <w:pPr>
        <w:pStyle w:val="ListParagraph"/>
        <w:numPr>
          <w:ilvl w:val="1"/>
          <w:numId w:val="1"/>
        </w:numPr>
        <w:rPr>
          <w:lang w:val="el-GR"/>
        </w:rPr>
      </w:pPr>
      <w:r>
        <w:rPr>
          <w:lang w:val="el-GR"/>
        </w:rPr>
        <w:t>Αξιολόγηση Δελτίων Υγείας &amp; Ιατρικές Επιτροπές Αξιολόγησης Δελτίων Υγείας</w:t>
      </w:r>
    </w:p>
    <w:p w14:paraId="184AF332" w14:textId="77777777" w:rsidR="00F660B0" w:rsidRDefault="00F660B0" w:rsidP="00F660B0">
      <w:pPr>
        <w:pStyle w:val="ListParagraph"/>
        <w:numPr>
          <w:ilvl w:val="1"/>
          <w:numId w:val="1"/>
        </w:numPr>
        <w:rPr>
          <w:lang w:val="el-GR"/>
        </w:rPr>
      </w:pPr>
      <w:r>
        <w:rPr>
          <w:lang w:val="el-GR"/>
        </w:rPr>
        <w:t xml:space="preserve">Ποινές &amp; Κυρώσεις </w:t>
      </w:r>
    </w:p>
    <w:p w14:paraId="0E609318" w14:textId="77777777" w:rsidR="00F660B0" w:rsidRDefault="00F660B0" w:rsidP="00F660B0">
      <w:pPr>
        <w:pStyle w:val="ListParagraph"/>
        <w:ind w:left="1154"/>
        <w:rPr>
          <w:lang w:val="el-GR"/>
        </w:rPr>
      </w:pPr>
    </w:p>
    <w:p w14:paraId="29F7AF99" w14:textId="77777777" w:rsidR="00F660B0" w:rsidRPr="00500906" w:rsidRDefault="00F660B0" w:rsidP="00F660B0">
      <w:pPr>
        <w:pStyle w:val="ListParagraph"/>
        <w:numPr>
          <w:ilvl w:val="0"/>
          <w:numId w:val="1"/>
        </w:numPr>
        <w:ind w:left="284"/>
        <w:rPr>
          <w:lang w:val="el-GR"/>
        </w:rPr>
      </w:pPr>
      <w:r>
        <w:rPr>
          <w:lang w:val="el-GR"/>
        </w:rPr>
        <w:t>ΠΑΡΑΡΤΗΜΑ</w:t>
      </w:r>
    </w:p>
    <w:p w14:paraId="2257A9AE" w14:textId="77777777" w:rsidR="00F660B0" w:rsidRDefault="00F660B0"/>
    <w:p w14:paraId="60C4D078" w14:textId="77777777" w:rsidR="00F660B0" w:rsidRDefault="00F660B0"/>
    <w:p w14:paraId="025675DE" w14:textId="77777777" w:rsidR="00F660B0" w:rsidRDefault="00F660B0"/>
    <w:p w14:paraId="4544765D" w14:textId="77777777" w:rsidR="00F660B0" w:rsidRDefault="00F660B0"/>
    <w:p w14:paraId="67CABD51" w14:textId="77777777" w:rsidR="00F660B0" w:rsidRDefault="00F660B0"/>
    <w:p w14:paraId="5C33198A" w14:textId="77777777" w:rsidR="00F660B0" w:rsidRDefault="00F660B0"/>
    <w:p w14:paraId="378770E7" w14:textId="77777777" w:rsidR="00F660B0" w:rsidRDefault="00F660B0"/>
    <w:p w14:paraId="2C6FA24A" w14:textId="77777777" w:rsidR="00F660B0" w:rsidRDefault="00F660B0"/>
    <w:p w14:paraId="2C143462" w14:textId="77777777" w:rsidR="00F660B0" w:rsidRDefault="00F660B0"/>
    <w:p w14:paraId="58378D74" w14:textId="77777777" w:rsidR="00F660B0" w:rsidRDefault="00F660B0"/>
    <w:p w14:paraId="6B6755B3" w14:textId="77777777" w:rsidR="00F660B0" w:rsidRDefault="00F660B0"/>
    <w:p w14:paraId="6707B81D" w14:textId="77777777" w:rsidR="00F660B0" w:rsidRDefault="00F660B0"/>
    <w:p w14:paraId="627C1F32" w14:textId="77777777" w:rsidR="00F660B0" w:rsidRDefault="00F660B0"/>
    <w:p w14:paraId="0DE98643" w14:textId="77777777" w:rsidR="00F660B0" w:rsidRDefault="00F660B0"/>
    <w:p w14:paraId="22BEEBD7" w14:textId="77777777" w:rsidR="00F660B0" w:rsidRDefault="00F660B0"/>
    <w:p w14:paraId="3634C25F" w14:textId="77777777" w:rsidR="00F660B0" w:rsidRDefault="00F660B0"/>
    <w:p w14:paraId="36D94107" w14:textId="77777777" w:rsidR="00F660B0" w:rsidRDefault="00F660B0"/>
    <w:p w14:paraId="72956704" w14:textId="77777777" w:rsidR="00F660B0" w:rsidRDefault="00F660B0"/>
    <w:p w14:paraId="0CBEA57A" w14:textId="77777777" w:rsidR="00F660B0" w:rsidRDefault="00F660B0"/>
    <w:p w14:paraId="6CCA2D49" w14:textId="77777777" w:rsidR="00F660B0" w:rsidRDefault="00F660B0"/>
    <w:p w14:paraId="3F4C0895" w14:textId="77777777" w:rsidR="00F660B0" w:rsidRDefault="00F660B0"/>
    <w:p w14:paraId="796A5D7B" w14:textId="77777777" w:rsidR="00F660B0" w:rsidRDefault="00F660B0"/>
    <w:p w14:paraId="5F0E2624" w14:textId="77777777" w:rsidR="00F660B0" w:rsidRDefault="00F660B0"/>
    <w:p w14:paraId="191C57BC" w14:textId="77777777" w:rsidR="00F660B0" w:rsidRDefault="00F660B0"/>
    <w:p w14:paraId="1A2AE67B" w14:textId="77777777" w:rsidR="00F660B0" w:rsidRDefault="00F660B0"/>
    <w:p w14:paraId="64EDF1F2" w14:textId="77777777" w:rsidR="00F660B0" w:rsidRDefault="00F660B0"/>
    <w:p w14:paraId="019DE24E" w14:textId="77777777" w:rsidR="00F660B0" w:rsidRDefault="00F660B0"/>
    <w:p w14:paraId="01A4C79B" w14:textId="77777777" w:rsidR="00F660B0" w:rsidRDefault="00F660B0"/>
    <w:p w14:paraId="36B59880" w14:textId="77777777" w:rsidR="00F660B0" w:rsidRDefault="00F660B0"/>
    <w:p w14:paraId="229413FB" w14:textId="77777777" w:rsidR="00F660B0" w:rsidRDefault="00F660B0"/>
    <w:p w14:paraId="1C827E72" w14:textId="77777777" w:rsidR="00F660B0" w:rsidRDefault="00F660B0"/>
    <w:p w14:paraId="1C81CE9F" w14:textId="77777777" w:rsidR="00F660B0" w:rsidRDefault="00F660B0"/>
    <w:p w14:paraId="50CC8C23" w14:textId="77777777" w:rsidR="00F660B0" w:rsidRDefault="00F660B0"/>
    <w:p w14:paraId="2182E04D" w14:textId="77777777" w:rsidR="00F660B0" w:rsidRDefault="00F660B0" w:rsidP="00F660B0">
      <w:pPr>
        <w:jc w:val="center"/>
        <w:rPr>
          <w:rFonts w:cstheme="minorHAnsi"/>
          <w:b/>
        </w:rPr>
      </w:pPr>
      <w:bookmarkStart w:id="0" w:name="_Hlk135049943"/>
    </w:p>
    <w:bookmarkEnd w:id="0"/>
    <w:p w14:paraId="34E3BF3E" w14:textId="77777777" w:rsidR="00F660B0" w:rsidRPr="00F660B0" w:rsidRDefault="00F660B0" w:rsidP="00F660B0">
      <w:pPr>
        <w:rPr>
          <w:rFonts w:cstheme="minorHAnsi"/>
          <w:b/>
          <w:sz w:val="24"/>
          <w:szCs w:val="24"/>
          <w:lang w:val="el-GR"/>
        </w:rPr>
      </w:pPr>
      <w:r w:rsidRPr="00F660B0">
        <w:rPr>
          <w:rFonts w:cstheme="minorHAnsi"/>
          <w:b/>
          <w:sz w:val="24"/>
          <w:szCs w:val="24"/>
          <w:lang w:val="el-GR"/>
        </w:rPr>
        <w:t>1.ΕΙΣΑΓΩΓΗ</w:t>
      </w:r>
    </w:p>
    <w:p w14:paraId="202C7C20" w14:textId="77777777" w:rsidR="00F660B0" w:rsidRPr="00F660B0" w:rsidRDefault="00F660B0" w:rsidP="00F660B0">
      <w:pPr>
        <w:pStyle w:val="ListParagraph"/>
        <w:ind w:left="284"/>
        <w:rPr>
          <w:rFonts w:cstheme="minorHAnsi"/>
          <w:b/>
          <w:sz w:val="24"/>
          <w:szCs w:val="24"/>
          <w:lang w:val="el-GR"/>
        </w:rPr>
      </w:pPr>
    </w:p>
    <w:p w14:paraId="65A29FDB" w14:textId="77777777" w:rsidR="00F660B0" w:rsidRPr="00617E44" w:rsidRDefault="00F660B0" w:rsidP="00F660B0">
      <w:pPr>
        <w:pStyle w:val="NormalWeb"/>
        <w:shd w:val="clear" w:color="auto" w:fill="FFFFFF"/>
        <w:spacing w:after="0" w:line="276" w:lineRule="auto"/>
        <w:jc w:val="both"/>
        <w:rPr>
          <w:rFonts w:asciiTheme="minorHAnsi" w:hAnsiTheme="minorHAnsi" w:cstheme="minorHAnsi"/>
        </w:rPr>
      </w:pPr>
      <w:r w:rsidRPr="00617E44">
        <w:rPr>
          <w:rFonts w:asciiTheme="minorHAnsi" w:hAnsiTheme="minorHAnsi" w:cstheme="minorHAnsi"/>
        </w:rPr>
        <w:t>Ο Κυπριακός Οργανισμός Αθλητισμού (ΚΟΑ) είναι νομικό πρόσωπο δημοσίου δικαίου και λειτουργεί κάτω από την εποπτεία του Υπουργείου Παιδείας</w:t>
      </w:r>
      <w:r>
        <w:rPr>
          <w:rFonts w:asciiTheme="minorHAnsi" w:hAnsiTheme="minorHAnsi" w:cstheme="minorHAnsi"/>
        </w:rPr>
        <w:t>, Αθλητισμού και Νεολάιας</w:t>
      </w:r>
      <w:r w:rsidRPr="00617E44">
        <w:rPr>
          <w:rFonts w:asciiTheme="minorHAnsi" w:hAnsiTheme="minorHAnsi" w:cstheme="minorHAnsi"/>
        </w:rPr>
        <w:t>.</w:t>
      </w:r>
    </w:p>
    <w:p w14:paraId="2ADB724C" w14:textId="77777777" w:rsidR="00F660B0" w:rsidRPr="00617E44" w:rsidRDefault="00F660B0" w:rsidP="00F660B0">
      <w:pPr>
        <w:pStyle w:val="NormalWeb"/>
        <w:shd w:val="clear" w:color="auto" w:fill="FFFFFF"/>
        <w:spacing w:after="0"/>
        <w:jc w:val="both"/>
        <w:rPr>
          <w:rFonts w:asciiTheme="minorHAnsi" w:hAnsiTheme="minorHAnsi" w:cstheme="minorHAnsi"/>
        </w:rPr>
      </w:pPr>
    </w:p>
    <w:p w14:paraId="3FBC8A00" w14:textId="77777777" w:rsidR="00F660B0" w:rsidRDefault="00F660B0" w:rsidP="00F660B0">
      <w:pPr>
        <w:pStyle w:val="NormalWeb"/>
        <w:shd w:val="clear" w:color="auto" w:fill="FFFFFF"/>
        <w:spacing w:after="0" w:line="276" w:lineRule="auto"/>
        <w:jc w:val="both"/>
        <w:rPr>
          <w:rFonts w:asciiTheme="minorHAnsi" w:hAnsiTheme="minorHAnsi" w:cstheme="minorHAnsi"/>
        </w:rPr>
      </w:pPr>
      <w:r w:rsidRPr="00617E44">
        <w:rPr>
          <w:rFonts w:asciiTheme="minorHAnsi" w:hAnsiTheme="minorHAnsi" w:cstheme="minorHAnsi"/>
        </w:rPr>
        <w:t xml:space="preserve">Ο ΚΟΑ ιδρύθηκε και λειτουργεί σύμφωνα με τις πρόνοιες του Περί Κυπριακού Οργανισμού Αθλητισμού Νόμου (Νόμος) </w:t>
      </w:r>
      <w:r>
        <w:rPr>
          <w:rFonts w:asciiTheme="minorHAnsi" w:hAnsiTheme="minorHAnsi" w:cstheme="minorHAnsi"/>
        </w:rPr>
        <w:t xml:space="preserve">του 1969 (41/69) </w:t>
      </w:r>
      <w:r w:rsidRPr="00617E44">
        <w:rPr>
          <w:rFonts w:asciiTheme="minorHAnsi" w:hAnsiTheme="minorHAnsi" w:cstheme="minorHAnsi"/>
        </w:rPr>
        <w:t xml:space="preserve">και τους σχετικούς Κανονισμούς. </w:t>
      </w:r>
    </w:p>
    <w:p w14:paraId="3F070B46" w14:textId="77777777" w:rsidR="00F660B0" w:rsidRDefault="00F660B0" w:rsidP="00F660B0">
      <w:pPr>
        <w:pStyle w:val="NormalWeb"/>
        <w:shd w:val="clear" w:color="auto" w:fill="FFFFFF"/>
        <w:spacing w:after="0"/>
        <w:jc w:val="both"/>
        <w:rPr>
          <w:rFonts w:asciiTheme="minorHAnsi" w:hAnsiTheme="minorHAnsi" w:cstheme="minorHAnsi"/>
        </w:rPr>
      </w:pPr>
    </w:p>
    <w:p w14:paraId="0C485E24" w14:textId="77777777" w:rsidR="00F660B0" w:rsidRPr="00617E44" w:rsidRDefault="00F660B0" w:rsidP="00F660B0">
      <w:pPr>
        <w:pStyle w:val="NormalWeb"/>
        <w:shd w:val="clear" w:color="auto" w:fill="FFFFFF"/>
        <w:spacing w:after="0" w:line="276" w:lineRule="auto"/>
        <w:jc w:val="both"/>
        <w:rPr>
          <w:rFonts w:asciiTheme="minorHAnsi" w:hAnsiTheme="minorHAnsi" w:cstheme="minorHAnsi"/>
        </w:rPr>
      </w:pPr>
      <w:r w:rsidRPr="00617E44">
        <w:rPr>
          <w:rFonts w:asciiTheme="minorHAnsi" w:hAnsiTheme="minorHAnsi" w:cstheme="minorHAnsi"/>
        </w:rPr>
        <w:t xml:space="preserve">Είναι η Ανώτατη Αθλητική Αρχή της Δημοκρατίας και διοικείται από Διοικητικό Συμβούλιο το οποίο διορίζεται από το Υπουργικό Συμβούλιο. </w:t>
      </w:r>
    </w:p>
    <w:p w14:paraId="4F503929" w14:textId="77777777" w:rsidR="00F660B0" w:rsidRPr="00617E44" w:rsidRDefault="00F660B0" w:rsidP="00F660B0">
      <w:pPr>
        <w:pStyle w:val="NormalWeb"/>
        <w:shd w:val="clear" w:color="auto" w:fill="FFFFFF"/>
        <w:spacing w:after="0"/>
        <w:jc w:val="both"/>
        <w:rPr>
          <w:rFonts w:asciiTheme="minorHAnsi" w:hAnsiTheme="minorHAnsi" w:cstheme="minorHAnsi"/>
        </w:rPr>
      </w:pPr>
    </w:p>
    <w:p w14:paraId="53ADA892" w14:textId="77777777" w:rsidR="00F660B0" w:rsidRPr="00617E44" w:rsidRDefault="00F660B0" w:rsidP="00F660B0">
      <w:pPr>
        <w:pStyle w:val="NormalWeb"/>
        <w:shd w:val="clear" w:color="auto" w:fill="FFFFFF"/>
        <w:tabs>
          <w:tab w:val="left" w:pos="284"/>
        </w:tabs>
        <w:spacing w:after="0" w:line="276" w:lineRule="auto"/>
        <w:jc w:val="both"/>
        <w:rPr>
          <w:rFonts w:asciiTheme="minorHAnsi" w:hAnsiTheme="minorHAnsi" w:cstheme="minorHAnsi"/>
          <w:b/>
          <w:bCs/>
        </w:rPr>
      </w:pPr>
      <w:r w:rsidRPr="00617E44">
        <w:rPr>
          <w:rFonts w:asciiTheme="minorHAnsi" w:hAnsiTheme="minorHAnsi" w:cstheme="minorHAnsi"/>
          <w:b/>
          <w:bCs/>
        </w:rPr>
        <w:t>2.</w:t>
      </w:r>
      <w:r w:rsidRPr="00617E44">
        <w:rPr>
          <w:rFonts w:asciiTheme="minorHAnsi" w:hAnsiTheme="minorHAnsi" w:cstheme="minorHAnsi"/>
        </w:rPr>
        <w:tab/>
      </w:r>
      <w:r w:rsidRPr="00617E44">
        <w:rPr>
          <w:rFonts w:asciiTheme="minorHAnsi" w:hAnsiTheme="minorHAnsi" w:cstheme="minorHAnsi"/>
          <w:b/>
          <w:bCs/>
        </w:rPr>
        <w:t xml:space="preserve">ΝΟΜΟΘΕΤΙΚΟ ΠΛΑΙΣΙΟ   </w:t>
      </w:r>
      <w:r>
        <w:rPr>
          <w:rFonts w:asciiTheme="minorHAnsi" w:hAnsiTheme="minorHAnsi" w:cstheme="minorHAnsi"/>
          <w:b/>
          <w:bCs/>
        </w:rPr>
        <w:t xml:space="preserve"> -  Σκοπός και Αρμοδιότητες του Διοικητικού Συμβουλίου</w:t>
      </w:r>
    </w:p>
    <w:p w14:paraId="4828B83D" w14:textId="77777777" w:rsidR="00F660B0" w:rsidRPr="00617E44" w:rsidRDefault="00F660B0" w:rsidP="00F660B0">
      <w:pPr>
        <w:pStyle w:val="NormalWeb"/>
        <w:shd w:val="clear" w:color="auto" w:fill="FFFFFF"/>
        <w:spacing w:after="0"/>
        <w:jc w:val="both"/>
        <w:rPr>
          <w:rFonts w:asciiTheme="minorHAnsi" w:hAnsiTheme="minorHAnsi" w:cstheme="minorHAnsi"/>
        </w:rPr>
      </w:pPr>
    </w:p>
    <w:p w14:paraId="5D30D5C6" w14:textId="77777777" w:rsidR="00F660B0" w:rsidRPr="00617E44" w:rsidRDefault="00F660B0" w:rsidP="00F660B0">
      <w:pPr>
        <w:pStyle w:val="NormalWeb"/>
        <w:shd w:val="clear" w:color="auto" w:fill="FFFFFF"/>
        <w:spacing w:after="0" w:line="276" w:lineRule="auto"/>
        <w:jc w:val="both"/>
        <w:rPr>
          <w:rFonts w:asciiTheme="minorHAnsi" w:hAnsiTheme="minorHAnsi" w:cstheme="minorHAnsi"/>
        </w:rPr>
      </w:pPr>
      <w:r w:rsidRPr="00617E44">
        <w:rPr>
          <w:rFonts w:asciiTheme="minorHAnsi" w:hAnsiTheme="minorHAnsi" w:cstheme="minorHAnsi"/>
        </w:rPr>
        <w:t>Σύμφωνα με τους Περί Κυπριακού Οργανισμού Αθλητισμού Νόμους, σκοπός του ΚΟΑ είναι η προαγωγή της εξωσχολικής σωματικής αγωγής και του εν γένει αθλητισμού της νήσου, η καλλιέργεια και ανάπτυξη του Ολυμπιακού ιδεώδους και του φίλαθλου πνεύματος παρά τω λαώ, η εντός του πλαισίου των υφισταμένων σχέσεων μετά εξωκυπριακών αρχών και οργανώσεων αθλητική προβολή της νήσου στο εξωτερικό και η εν γένει συνεργασία μετά των αρχών και οργανώσεων τούτων, βελτίωση της θέσεως αυτής στη διεθνή αθλητική κίνηση.</w:t>
      </w:r>
    </w:p>
    <w:p w14:paraId="3585F010" w14:textId="77777777" w:rsidR="00F660B0" w:rsidRDefault="00F660B0" w:rsidP="00F660B0">
      <w:pPr>
        <w:pStyle w:val="NormalWeb"/>
        <w:shd w:val="clear" w:color="auto" w:fill="FFFFFF"/>
        <w:spacing w:after="0"/>
        <w:jc w:val="both"/>
        <w:rPr>
          <w:rFonts w:asciiTheme="minorHAnsi" w:hAnsiTheme="minorHAnsi" w:cstheme="minorHAnsi"/>
          <w:color w:val="333333"/>
        </w:rPr>
      </w:pPr>
    </w:p>
    <w:p w14:paraId="6E575533" w14:textId="77777777" w:rsidR="00F660B0" w:rsidRPr="00F660B0" w:rsidRDefault="00F660B0" w:rsidP="00F660B0">
      <w:pPr>
        <w:rPr>
          <w:rFonts w:cstheme="minorHAnsi"/>
          <w:b/>
          <w:color w:val="000000"/>
          <w:spacing w:val="-4"/>
          <w:sz w:val="24"/>
          <w:szCs w:val="24"/>
          <w:lang w:val="el-GR"/>
        </w:rPr>
      </w:pPr>
      <w:r w:rsidRPr="00F660B0">
        <w:rPr>
          <w:rFonts w:cstheme="minorHAnsi"/>
          <w:b/>
          <w:color w:val="000000"/>
          <w:spacing w:val="-4"/>
          <w:sz w:val="24"/>
          <w:szCs w:val="24"/>
          <w:lang w:val="el-GR"/>
        </w:rPr>
        <w:t>3. ΝΟΜΟΙ &amp; ΚΑΝΟΝΙΣΜΟΙ ΔΕΛΤΙΩΝ ΥΓΕΙΑΣ ΑΘΛΗΤΩΝ ΚΟΑ</w:t>
      </w:r>
    </w:p>
    <w:p w14:paraId="276C78FE" w14:textId="77777777" w:rsidR="00F660B0" w:rsidRPr="00F660B0" w:rsidRDefault="00F660B0" w:rsidP="00F660B0">
      <w:pPr>
        <w:jc w:val="both"/>
        <w:rPr>
          <w:rFonts w:cstheme="minorHAnsi"/>
          <w:b/>
          <w:color w:val="000000"/>
          <w:spacing w:val="-4"/>
          <w:sz w:val="24"/>
          <w:szCs w:val="24"/>
          <w:lang w:val="el-GR"/>
        </w:rPr>
      </w:pPr>
    </w:p>
    <w:p w14:paraId="076A7EAB" w14:textId="77777777" w:rsidR="00F660B0" w:rsidRPr="00F660B0" w:rsidRDefault="00F660B0" w:rsidP="00F660B0">
      <w:pPr>
        <w:overflowPunct w:val="0"/>
        <w:autoSpaceDE w:val="0"/>
        <w:autoSpaceDN w:val="0"/>
        <w:jc w:val="center"/>
        <w:rPr>
          <w:rFonts w:cstheme="minorHAnsi"/>
          <w:b/>
          <w:bCs/>
          <w:sz w:val="24"/>
          <w:szCs w:val="24"/>
          <w:lang w:val="el-GR"/>
        </w:rPr>
      </w:pPr>
      <w:r w:rsidRPr="00F660B0">
        <w:rPr>
          <w:rFonts w:cstheme="minorHAnsi"/>
          <w:b/>
          <w:bCs/>
          <w:sz w:val="24"/>
          <w:szCs w:val="24"/>
          <w:lang w:val="el-GR"/>
        </w:rPr>
        <w:t>Τμήμα Δελτίων Υγείας Αθλητών ΚΟΑ</w:t>
      </w:r>
      <w:r w:rsidRPr="00AC26D2">
        <w:rPr>
          <w:rFonts w:cstheme="minorHAnsi"/>
          <w:b/>
          <w:bCs/>
          <w:sz w:val="24"/>
          <w:szCs w:val="24"/>
        </w:rPr>
        <w:t> </w:t>
      </w:r>
      <w:r w:rsidRPr="00F660B0">
        <w:rPr>
          <w:rFonts w:cstheme="minorHAnsi"/>
          <w:b/>
          <w:bCs/>
          <w:sz w:val="24"/>
          <w:szCs w:val="24"/>
          <w:lang w:val="el-GR"/>
        </w:rPr>
        <w:t xml:space="preserve"> &amp; Ανώτατο Συμβούλιο Υγείας Αθλητών (ΑΣΥΑ)</w:t>
      </w:r>
    </w:p>
    <w:p w14:paraId="1B8A2A29" w14:textId="77777777" w:rsidR="00F660B0" w:rsidRPr="00F660B0" w:rsidRDefault="00F660B0" w:rsidP="00F660B0">
      <w:pPr>
        <w:jc w:val="both"/>
        <w:rPr>
          <w:rFonts w:cstheme="minorHAnsi"/>
          <w:b/>
          <w:bCs/>
          <w:sz w:val="24"/>
          <w:szCs w:val="24"/>
          <w:u w:val="single"/>
          <w:lang w:val="el-GR"/>
        </w:rPr>
      </w:pPr>
    </w:p>
    <w:p w14:paraId="1E8017AD" w14:textId="77777777" w:rsidR="00F660B0" w:rsidRPr="00F660B0" w:rsidRDefault="00F660B0" w:rsidP="00F660B0">
      <w:pPr>
        <w:jc w:val="both"/>
        <w:rPr>
          <w:rFonts w:cstheme="minorHAnsi"/>
          <w:b/>
          <w:bCs/>
          <w:sz w:val="24"/>
          <w:szCs w:val="24"/>
          <w:u w:val="single"/>
          <w:lang w:val="el-GR"/>
        </w:rPr>
      </w:pPr>
      <w:r w:rsidRPr="00F660B0">
        <w:rPr>
          <w:rFonts w:cstheme="minorHAnsi"/>
          <w:b/>
          <w:bCs/>
          <w:sz w:val="24"/>
          <w:szCs w:val="24"/>
          <w:u w:val="single"/>
          <w:lang w:val="el-GR"/>
        </w:rPr>
        <w:t xml:space="preserve">3.1 Τμήμα Δελτίων Υγείας </w:t>
      </w:r>
    </w:p>
    <w:p w14:paraId="331904D7" w14:textId="77777777" w:rsidR="00F660B0" w:rsidRPr="00F660B0" w:rsidRDefault="00F660B0" w:rsidP="00F660B0">
      <w:pPr>
        <w:jc w:val="both"/>
        <w:rPr>
          <w:rFonts w:cstheme="minorHAnsi"/>
          <w:b/>
          <w:bCs/>
          <w:sz w:val="24"/>
          <w:szCs w:val="24"/>
          <w:u w:val="single"/>
          <w:lang w:val="el-GR"/>
        </w:rPr>
      </w:pPr>
    </w:p>
    <w:p w14:paraId="61DB8066" w14:textId="77777777" w:rsidR="00F660B0" w:rsidRPr="00F660B0" w:rsidRDefault="00F660B0" w:rsidP="00F660B0">
      <w:pPr>
        <w:jc w:val="both"/>
        <w:rPr>
          <w:rFonts w:cstheme="minorHAnsi"/>
          <w:sz w:val="24"/>
          <w:szCs w:val="24"/>
          <w:lang w:val="el-GR"/>
        </w:rPr>
      </w:pPr>
      <w:r w:rsidRPr="00F660B0">
        <w:rPr>
          <w:rFonts w:cstheme="minorHAnsi"/>
          <w:sz w:val="24"/>
          <w:szCs w:val="24"/>
          <w:lang w:val="el-GR"/>
        </w:rPr>
        <w:t>Το Τμήμα Δελτίων Υγείας είναι η αρμόδια Υπηρεσία του Οργανισμού, υπεύθυνη για την έκδοση Δελτίων Υγείας Αθλητών. Η διαδικασία έκδοσης Δελτίων Υγείας διέπεται από τον περί ΚΟΑ Νόμο του 1969 (41/69), καθώς επίσης και τους κανονισμούς, τις οδηγίες, τις διαδικασίες και τις εγκυκλίους που εκδίδει το Τμήμα Δελτίων Υγείας, κατόπιν αποφάσεων του Διοικητικού Συμβουλίου του ΚΟΑ.</w:t>
      </w:r>
    </w:p>
    <w:p w14:paraId="3CD9B028" w14:textId="77777777" w:rsidR="00F660B0" w:rsidRPr="00F660B0" w:rsidRDefault="00F660B0" w:rsidP="00F660B0">
      <w:pPr>
        <w:jc w:val="both"/>
        <w:rPr>
          <w:rFonts w:cstheme="minorHAnsi"/>
          <w:b/>
          <w:bCs/>
          <w:sz w:val="24"/>
          <w:szCs w:val="24"/>
          <w:u w:val="single"/>
          <w:lang w:val="el-GR"/>
        </w:rPr>
      </w:pPr>
    </w:p>
    <w:p w14:paraId="0647C5FA" w14:textId="77777777" w:rsidR="00F660B0" w:rsidRPr="00F660B0" w:rsidRDefault="00F660B0" w:rsidP="00F660B0">
      <w:pPr>
        <w:jc w:val="both"/>
        <w:rPr>
          <w:rFonts w:cstheme="minorHAnsi"/>
          <w:b/>
          <w:bCs/>
          <w:sz w:val="24"/>
          <w:szCs w:val="24"/>
          <w:u w:val="single"/>
          <w:lang w:val="el-GR"/>
        </w:rPr>
      </w:pPr>
      <w:r w:rsidRPr="00F660B0">
        <w:rPr>
          <w:rFonts w:cstheme="minorHAnsi"/>
          <w:b/>
          <w:bCs/>
          <w:sz w:val="24"/>
          <w:szCs w:val="24"/>
          <w:u w:val="single"/>
          <w:lang w:val="el-GR"/>
        </w:rPr>
        <w:t xml:space="preserve">3.2 Αποστολή </w:t>
      </w:r>
    </w:p>
    <w:p w14:paraId="0A82BA53" w14:textId="77777777" w:rsidR="00F660B0" w:rsidRPr="00F660B0" w:rsidRDefault="00F660B0" w:rsidP="00F660B0">
      <w:pPr>
        <w:jc w:val="both"/>
        <w:rPr>
          <w:rFonts w:cstheme="minorHAnsi"/>
          <w:sz w:val="24"/>
          <w:szCs w:val="24"/>
          <w:lang w:val="el-GR"/>
        </w:rPr>
      </w:pPr>
    </w:p>
    <w:p w14:paraId="5432C5F6" w14:textId="77777777" w:rsidR="00F660B0" w:rsidRPr="00F660B0" w:rsidRDefault="00F660B0" w:rsidP="00F660B0">
      <w:pPr>
        <w:jc w:val="both"/>
        <w:rPr>
          <w:rFonts w:cstheme="minorHAnsi"/>
          <w:sz w:val="24"/>
          <w:szCs w:val="24"/>
          <w:lang w:val="el-GR"/>
        </w:rPr>
      </w:pPr>
      <w:r w:rsidRPr="00F660B0">
        <w:rPr>
          <w:rFonts w:cstheme="minorHAnsi"/>
          <w:sz w:val="24"/>
          <w:szCs w:val="24"/>
          <w:lang w:val="el-GR"/>
        </w:rPr>
        <w:t xml:space="preserve">Αποστολή του ΚΟΑ, μέσω της έκδοσης του Δελτίου Υγείας Αθλητών ΚΟΑ, είναι η πρόληψη του Αιφνίδιου Καρδιακού Θανάτου (ΑΚΘ) στους αθλουμένους, κατά την </w:t>
      </w:r>
      <w:r w:rsidRPr="00F660B0">
        <w:rPr>
          <w:rFonts w:cstheme="minorHAnsi"/>
          <w:sz w:val="24"/>
          <w:szCs w:val="24"/>
          <w:lang w:val="el-GR"/>
        </w:rPr>
        <w:lastRenderedPageBreak/>
        <w:t>διάρκεια της σωματικής άσκησης καθώς επίσης και της έγκαιρης διάγνωσης και πρόληψης των παθολογικών καταστάσεων που δεν αποκλείουν την πλήρη ή με περιορισμό αθλητική δραστηριότητα, αλλά απαιτούν ειδικές προφυλάξεις και παρακολούθηση.</w:t>
      </w:r>
    </w:p>
    <w:p w14:paraId="3AE156F8" w14:textId="77777777" w:rsidR="00F660B0" w:rsidRPr="00F660B0" w:rsidRDefault="00F660B0" w:rsidP="00F660B0">
      <w:pPr>
        <w:overflowPunct w:val="0"/>
        <w:autoSpaceDE w:val="0"/>
        <w:autoSpaceDN w:val="0"/>
        <w:jc w:val="both"/>
        <w:rPr>
          <w:rFonts w:cstheme="minorHAnsi"/>
          <w:b/>
          <w:bCs/>
          <w:sz w:val="24"/>
          <w:szCs w:val="24"/>
          <w:lang w:val="el-GR"/>
        </w:rPr>
      </w:pPr>
    </w:p>
    <w:p w14:paraId="71D23172" w14:textId="77777777" w:rsidR="00F660B0" w:rsidRPr="00AC26D2" w:rsidRDefault="00F660B0" w:rsidP="00F660B0">
      <w:pPr>
        <w:overflowPunct w:val="0"/>
        <w:autoSpaceDE w:val="0"/>
        <w:autoSpaceDN w:val="0"/>
        <w:jc w:val="both"/>
        <w:rPr>
          <w:rFonts w:cstheme="minorHAnsi"/>
          <w:b/>
          <w:bCs/>
          <w:sz w:val="24"/>
          <w:szCs w:val="24"/>
          <w:u w:val="single"/>
        </w:rPr>
      </w:pPr>
      <w:r>
        <w:rPr>
          <w:rFonts w:cstheme="minorHAnsi"/>
          <w:b/>
          <w:bCs/>
          <w:sz w:val="24"/>
          <w:szCs w:val="24"/>
          <w:u w:val="single"/>
        </w:rPr>
        <w:t xml:space="preserve">3.3 </w:t>
      </w:r>
      <w:r w:rsidRPr="00AC26D2">
        <w:rPr>
          <w:rFonts w:cstheme="minorHAnsi"/>
          <w:b/>
          <w:bCs/>
          <w:sz w:val="24"/>
          <w:szCs w:val="24"/>
          <w:u w:val="single"/>
        </w:rPr>
        <w:t>Νομοθεσία &amp; Κανονισμοί</w:t>
      </w:r>
    </w:p>
    <w:p w14:paraId="27BFDBF3" w14:textId="77777777" w:rsidR="00F660B0" w:rsidRPr="00AC26D2" w:rsidRDefault="00F660B0" w:rsidP="00F660B0">
      <w:pPr>
        <w:overflowPunct w:val="0"/>
        <w:autoSpaceDE w:val="0"/>
        <w:autoSpaceDN w:val="0"/>
        <w:jc w:val="both"/>
        <w:rPr>
          <w:rFonts w:cstheme="minorHAnsi"/>
          <w:b/>
          <w:bCs/>
          <w:sz w:val="24"/>
          <w:szCs w:val="24"/>
          <w:u w:val="single"/>
        </w:rPr>
      </w:pPr>
    </w:p>
    <w:p w14:paraId="0665C4BC" w14:textId="77777777" w:rsidR="00F660B0" w:rsidRPr="00F660B0" w:rsidRDefault="00F660B0" w:rsidP="00F660B0">
      <w:pPr>
        <w:numPr>
          <w:ilvl w:val="0"/>
          <w:numId w:val="2"/>
        </w:numPr>
        <w:overflowPunct w:val="0"/>
        <w:autoSpaceDE w:val="0"/>
        <w:autoSpaceDN w:val="0"/>
        <w:spacing w:line="276" w:lineRule="auto"/>
        <w:ind w:left="0" w:firstLine="0"/>
        <w:jc w:val="both"/>
        <w:rPr>
          <w:rFonts w:eastAsia="Times New Roman" w:cstheme="minorHAnsi"/>
          <w:sz w:val="24"/>
          <w:szCs w:val="24"/>
          <w:lang w:val="el-GR"/>
        </w:rPr>
      </w:pPr>
      <w:r w:rsidRPr="00F660B0">
        <w:rPr>
          <w:rFonts w:eastAsia="Times New Roman" w:cstheme="minorHAnsi"/>
          <w:sz w:val="24"/>
          <w:szCs w:val="24"/>
          <w:lang w:val="el-GR"/>
        </w:rPr>
        <w:t xml:space="preserve">Το Δελτίο Υγείας Αθλητών ΚΟΑ καταγράφεται </w:t>
      </w:r>
      <w:r w:rsidRPr="00F660B0">
        <w:rPr>
          <w:rFonts w:eastAsia="Times New Roman" w:cstheme="minorHAnsi"/>
          <w:b/>
          <w:bCs/>
          <w:sz w:val="24"/>
          <w:szCs w:val="24"/>
          <w:u w:val="single"/>
          <w:lang w:val="el-GR"/>
        </w:rPr>
        <w:t>σε ειδική κάρτα</w:t>
      </w:r>
      <w:r w:rsidRPr="00F660B0">
        <w:rPr>
          <w:rFonts w:eastAsia="Times New Roman" w:cstheme="minorHAnsi"/>
          <w:sz w:val="24"/>
          <w:szCs w:val="24"/>
          <w:lang w:val="el-GR"/>
        </w:rPr>
        <w:t xml:space="preserve"> (πλαστική κάρτα) που εκδίδεται από τον ΚΟΑ. Αποτελεί προσωπικό έγγραφο του Αθλητή/τριας και δεν συνδέεται με το Δελτίο Αθλητικής Ταυτότητας που εκδίδουν οι αναγνωρισμένες Αθλητικές Ομοσπονδίες.</w:t>
      </w:r>
    </w:p>
    <w:p w14:paraId="09391068" w14:textId="77777777" w:rsidR="00F660B0" w:rsidRPr="00F660B0" w:rsidRDefault="00F660B0" w:rsidP="00F660B0">
      <w:pPr>
        <w:numPr>
          <w:ilvl w:val="0"/>
          <w:numId w:val="2"/>
        </w:numPr>
        <w:overflowPunct w:val="0"/>
        <w:autoSpaceDE w:val="0"/>
        <w:autoSpaceDN w:val="0"/>
        <w:spacing w:line="276" w:lineRule="auto"/>
        <w:ind w:left="0" w:firstLine="0"/>
        <w:jc w:val="both"/>
        <w:rPr>
          <w:rFonts w:eastAsia="Times New Roman" w:cstheme="minorHAnsi"/>
          <w:sz w:val="24"/>
          <w:szCs w:val="24"/>
          <w:lang w:val="el-GR"/>
        </w:rPr>
      </w:pPr>
      <w:r w:rsidRPr="00F660B0">
        <w:rPr>
          <w:rFonts w:eastAsia="Times New Roman" w:cstheme="minorHAnsi"/>
          <w:sz w:val="24"/>
          <w:szCs w:val="24"/>
          <w:lang w:val="el-GR"/>
        </w:rPr>
        <w:t xml:space="preserve">Το Δελτίο Υγείας Αθλητών ΚΟΑ είναι </w:t>
      </w:r>
      <w:r w:rsidRPr="00F660B0">
        <w:rPr>
          <w:rFonts w:eastAsia="Times New Roman" w:cstheme="minorHAnsi"/>
          <w:b/>
          <w:bCs/>
          <w:sz w:val="24"/>
          <w:szCs w:val="24"/>
          <w:lang w:val="el-GR"/>
        </w:rPr>
        <w:t xml:space="preserve">υποχρεωτικό </w:t>
      </w:r>
      <w:r w:rsidRPr="00F660B0">
        <w:rPr>
          <w:rFonts w:eastAsia="Times New Roman" w:cstheme="minorHAnsi"/>
          <w:sz w:val="24"/>
          <w:szCs w:val="24"/>
          <w:lang w:val="el-GR"/>
        </w:rPr>
        <w:t xml:space="preserve">και αποτελεί απαραίτητη προϋπόθεση </w:t>
      </w:r>
      <w:r w:rsidRPr="00F660B0">
        <w:rPr>
          <w:rFonts w:eastAsia="Times New Roman" w:cstheme="minorHAnsi"/>
          <w:color w:val="000000"/>
          <w:sz w:val="24"/>
          <w:szCs w:val="24"/>
          <w:bdr w:val="none" w:sz="0" w:space="0" w:color="auto" w:frame="1"/>
          <w:lang w:val="el-GR"/>
        </w:rPr>
        <w:t xml:space="preserve">για τη συμμετοχή των </w:t>
      </w:r>
      <w:r w:rsidRPr="00F660B0">
        <w:rPr>
          <w:rFonts w:eastAsia="Times New Roman" w:cstheme="minorHAnsi"/>
          <w:b/>
          <w:bCs/>
          <w:color w:val="000000"/>
          <w:sz w:val="24"/>
          <w:szCs w:val="24"/>
          <w:u w:val="single"/>
          <w:bdr w:val="none" w:sz="0" w:space="0" w:color="auto" w:frame="1"/>
          <w:lang w:val="el-GR"/>
        </w:rPr>
        <w:t>αθλητών/τριων ανεξαρτήτως ηλικίας, επιπέδου, κατηγορίας και αθλήματος σε προπονήσεις</w:t>
      </w:r>
      <w:r w:rsidRPr="00AC26D2">
        <w:rPr>
          <w:rFonts w:eastAsia="Times New Roman" w:cstheme="minorHAnsi"/>
          <w:b/>
          <w:bCs/>
          <w:color w:val="000000"/>
          <w:sz w:val="24"/>
          <w:szCs w:val="24"/>
          <w:u w:val="single"/>
          <w:bdr w:val="none" w:sz="0" w:space="0" w:color="auto" w:frame="1"/>
        </w:rPr>
        <w:t> </w:t>
      </w:r>
      <w:r w:rsidRPr="00F660B0">
        <w:rPr>
          <w:rFonts w:eastAsia="Times New Roman" w:cstheme="minorHAnsi"/>
          <w:b/>
          <w:bCs/>
          <w:color w:val="000000"/>
          <w:sz w:val="24"/>
          <w:szCs w:val="24"/>
          <w:u w:val="single"/>
          <w:bdr w:val="none" w:sz="0" w:space="0" w:color="auto" w:frame="1"/>
          <w:lang w:val="el-GR"/>
        </w:rPr>
        <w:t>και αγώνες</w:t>
      </w:r>
      <w:r w:rsidRPr="00F660B0">
        <w:rPr>
          <w:rFonts w:eastAsia="Times New Roman" w:cstheme="minorHAnsi"/>
          <w:b/>
          <w:bCs/>
          <w:sz w:val="24"/>
          <w:szCs w:val="24"/>
          <w:lang w:val="el-GR"/>
        </w:rPr>
        <w:t xml:space="preserve"> </w:t>
      </w:r>
      <w:r w:rsidRPr="00F660B0">
        <w:rPr>
          <w:rFonts w:eastAsia="Times New Roman" w:cstheme="minorHAnsi"/>
          <w:sz w:val="24"/>
          <w:szCs w:val="24"/>
          <w:lang w:val="el-GR"/>
        </w:rPr>
        <w:t xml:space="preserve">των αναγνωρισμένων Αθλητικών Σωματείων και Αθλητικών Ομοσπονδιών. Σημειώνεται ότι στο Έντυπο «Ιατρική Εξέταση για έκδοση Δελτίου Υγείας» ρητώς αναφέρει </w:t>
      </w:r>
      <w:r w:rsidRPr="00F660B0">
        <w:rPr>
          <w:rFonts w:cstheme="minorHAnsi"/>
          <w:b/>
          <w:bCs/>
          <w:sz w:val="24"/>
          <w:szCs w:val="24"/>
          <w:lang w:val="el-GR"/>
        </w:rPr>
        <w:t>«Φρονώ ότι ο ανωτέρω αθλητής μπορεί να προπονείται και να αγωνίζεται κανονικά» (συν.1).</w:t>
      </w:r>
    </w:p>
    <w:p w14:paraId="6D370A6B" w14:textId="77777777" w:rsidR="00F660B0" w:rsidRPr="00F660B0" w:rsidRDefault="00F660B0" w:rsidP="00F660B0">
      <w:pPr>
        <w:numPr>
          <w:ilvl w:val="0"/>
          <w:numId w:val="2"/>
        </w:numPr>
        <w:overflowPunct w:val="0"/>
        <w:autoSpaceDE w:val="0"/>
        <w:autoSpaceDN w:val="0"/>
        <w:spacing w:line="276" w:lineRule="auto"/>
        <w:ind w:left="0" w:firstLine="0"/>
        <w:jc w:val="both"/>
        <w:rPr>
          <w:rFonts w:eastAsia="Times New Roman" w:cstheme="minorHAnsi"/>
          <w:sz w:val="24"/>
          <w:szCs w:val="24"/>
          <w:lang w:val="el-GR"/>
        </w:rPr>
      </w:pPr>
      <w:r w:rsidRPr="00F660B0">
        <w:rPr>
          <w:rFonts w:cstheme="minorHAnsi"/>
          <w:sz w:val="24"/>
          <w:szCs w:val="24"/>
          <w:lang w:val="el-GR"/>
        </w:rPr>
        <w:t>Οι Αθλητικές Ομοσπονδίες έχουν την απόλυτη ευθύνη του ελέγχου της ισχύος του Δελτίου Υγείας των αθλητών/τριων και ως εκ τούτου προσκομίζεται υποχρεωτικά στην γραμματεία και/ή στον αρμόδιο διαιτητή/τες και /ή παρατηρητή/τες,  κάθε είδους αγώνα και, αθλητικής εκδήλωσης, σύμφωνα με τους κανονισμούς και τις προκηρύξεις αγώνων  των αναγνωρισμένων Αθλητικών Ομοσπονδιών</w:t>
      </w:r>
    </w:p>
    <w:p w14:paraId="7397A441" w14:textId="77777777" w:rsidR="00F660B0" w:rsidRPr="00F660B0" w:rsidRDefault="00F660B0" w:rsidP="00F660B0">
      <w:pPr>
        <w:pStyle w:val="ListParagraph"/>
        <w:numPr>
          <w:ilvl w:val="0"/>
          <w:numId w:val="2"/>
        </w:numPr>
        <w:spacing w:line="276" w:lineRule="auto"/>
        <w:ind w:left="0" w:firstLine="0"/>
        <w:jc w:val="both"/>
        <w:rPr>
          <w:rFonts w:eastAsia="Times New Roman" w:cstheme="minorHAnsi"/>
          <w:sz w:val="24"/>
          <w:szCs w:val="24"/>
          <w:lang w:val="el-GR"/>
        </w:rPr>
      </w:pPr>
      <w:r w:rsidRPr="00F660B0">
        <w:rPr>
          <w:rFonts w:eastAsia="Times New Roman" w:cstheme="minorHAnsi"/>
          <w:sz w:val="24"/>
          <w:szCs w:val="24"/>
          <w:lang w:val="el-GR"/>
        </w:rPr>
        <w:t xml:space="preserve">Κανένας </w:t>
      </w:r>
      <w:r w:rsidRPr="00F660B0">
        <w:rPr>
          <w:rFonts w:eastAsia="Times New Roman" w:cstheme="minorHAnsi"/>
          <w:b/>
          <w:bCs/>
          <w:sz w:val="24"/>
          <w:szCs w:val="24"/>
          <w:u w:val="single"/>
          <w:lang w:val="el-GR"/>
        </w:rPr>
        <w:t>αθλητής/τρια</w:t>
      </w:r>
      <w:r w:rsidRPr="00F660B0">
        <w:rPr>
          <w:rFonts w:eastAsia="Times New Roman" w:cstheme="minorHAnsi"/>
          <w:sz w:val="24"/>
          <w:szCs w:val="24"/>
          <w:lang w:val="el-GR"/>
        </w:rPr>
        <w:t xml:space="preserve"> δεν μπορεί να αγωνίζεται χωρίς να είναι κάτοχος Δελτίου Υγείας σε ισχύ. Το πιο πάνω ισχύει για όλους τους αθλητές/τριες ανεξαρτήτως της εθνικότητας τους (πολίτες από Κράτη Μέλη της Ε.Ε. και πολίτες Τρίτων Χωρών) που συμμετέχουν σε αγώνες, </w:t>
      </w:r>
      <w:r w:rsidRPr="00F660B0">
        <w:rPr>
          <w:rFonts w:cstheme="minorHAnsi"/>
          <w:sz w:val="24"/>
          <w:szCs w:val="24"/>
          <w:lang w:val="el-GR"/>
        </w:rPr>
        <w:t>αθλητικόν σωματείον,  αθλητικής Ομοσπονδία κ.α., ως αυτά ερμηνεύονται από τον Περί ΚΟΑ Νόμο του 1969 (41/69)</w:t>
      </w:r>
    </w:p>
    <w:p w14:paraId="1B853558" w14:textId="77777777" w:rsidR="00F660B0" w:rsidRPr="00AC26D2" w:rsidRDefault="00F660B0" w:rsidP="00F660B0">
      <w:pPr>
        <w:pStyle w:val="ListParagraph"/>
        <w:numPr>
          <w:ilvl w:val="0"/>
          <w:numId w:val="2"/>
        </w:numPr>
        <w:spacing w:line="276" w:lineRule="auto"/>
        <w:ind w:left="0" w:firstLine="0"/>
        <w:jc w:val="both"/>
        <w:rPr>
          <w:rFonts w:eastAsia="Times New Roman" w:cstheme="minorHAnsi"/>
          <w:sz w:val="24"/>
          <w:szCs w:val="24"/>
        </w:rPr>
      </w:pPr>
      <w:r w:rsidRPr="00F660B0">
        <w:rPr>
          <w:rFonts w:cstheme="minorHAnsi"/>
          <w:sz w:val="24"/>
          <w:szCs w:val="24"/>
          <w:lang w:val="el-GR"/>
        </w:rPr>
        <w:t xml:space="preserve">Η απόφαση του Διοικητικού Συμβουλίου του Οργανισμού ημερ. 5/6/2018 η οποία κοινοποιήθηκε προς όλους τους Αθλητικούς Φορείς με επιστολή ΚΟΑ ημερ. </w:t>
      </w:r>
      <w:r w:rsidRPr="00AC26D2">
        <w:rPr>
          <w:rFonts w:cstheme="minorHAnsi"/>
          <w:sz w:val="24"/>
          <w:szCs w:val="24"/>
        </w:rPr>
        <w:t>27/6/2018 (συν. 2) παραμένει σε ισχύ.</w:t>
      </w:r>
    </w:p>
    <w:p w14:paraId="605C41D1" w14:textId="77777777" w:rsidR="00F660B0" w:rsidRPr="00AC26D2" w:rsidRDefault="00F660B0" w:rsidP="00F660B0">
      <w:pPr>
        <w:pStyle w:val="ListParagraph"/>
        <w:numPr>
          <w:ilvl w:val="0"/>
          <w:numId w:val="2"/>
        </w:numPr>
        <w:spacing w:line="276" w:lineRule="auto"/>
        <w:ind w:left="0" w:firstLine="0"/>
        <w:jc w:val="both"/>
        <w:rPr>
          <w:rFonts w:eastAsia="Times New Roman" w:cstheme="minorHAnsi"/>
          <w:sz w:val="24"/>
          <w:szCs w:val="24"/>
        </w:rPr>
      </w:pPr>
      <w:r w:rsidRPr="00F660B0">
        <w:rPr>
          <w:rFonts w:cstheme="minorHAnsi"/>
          <w:sz w:val="24"/>
          <w:szCs w:val="24"/>
          <w:lang w:val="el-GR"/>
        </w:rPr>
        <w:t xml:space="preserve">Ο Κανονισμός Δελτίου Υγείας ΚΟΑ ο οποίος κοινοποιήθηκε με την εγκύκλιο ΚΟΑ ημερ. </w:t>
      </w:r>
      <w:r w:rsidRPr="00AC26D2">
        <w:rPr>
          <w:rFonts w:cstheme="minorHAnsi"/>
          <w:sz w:val="24"/>
          <w:szCs w:val="24"/>
        </w:rPr>
        <w:t>15/07/2014 παραμένει σε ισχύ.</w:t>
      </w:r>
    </w:p>
    <w:p w14:paraId="4E55C864" w14:textId="77777777" w:rsidR="00F660B0" w:rsidRPr="00AC26D2" w:rsidRDefault="00F660B0" w:rsidP="00F660B0">
      <w:pPr>
        <w:jc w:val="both"/>
        <w:rPr>
          <w:rFonts w:cstheme="minorHAnsi"/>
          <w:b/>
          <w:bCs/>
          <w:sz w:val="24"/>
          <w:szCs w:val="24"/>
          <w:u w:val="single"/>
        </w:rPr>
      </w:pPr>
    </w:p>
    <w:p w14:paraId="4BF57985" w14:textId="77777777" w:rsidR="00F660B0" w:rsidRPr="00F660B0" w:rsidRDefault="00F660B0" w:rsidP="00F660B0">
      <w:pPr>
        <w:jc w:val="both"/>
        <w:rPr>
          <w:rFonts w:cstheme="minorHAnsi"/>
          <w:b/>
          <w:bCs/>
          <w:sz w:val="24"/>
          <w:szCs w:val="24"/>
          <w:u w:val="single"/>
          <w:lang w:val="el-GR"/>
        </w:rPr>
      </w:pPr>
      <w:r w:rsidRPr="00F660B0">
        <w:rPr>
          <w:rFonts w:cstheme="minorHAnsi"/>
          <w:b/>
          <w:bCs/>
          <w:sz w:val="24"/>
          <w:szCs w:val="24"/>
          <w:u w:val="single"/>
          <w:lang w:val="el-GR"/>
        </w:rPr>
        <w:t>3.4 Ανώτατο Συμβούλιο Υγείας Αθλητών (ΑΣΥΑ) &amp; Ιατρικές Επιτροπές Αξιολόγησης Δελτίων Υγείας</w:t>
      </w:r>
    </w:p>
    <w:p w14:paraId="2343D150" w14:textId="77777777" w:rsidR="00F660B0" w:rsidRPr="00F660B0" w:rsidRDefault="00F660B0" w:rsidP="00F660B0">
      <w:pPr>
        <w:pStyle w:val="ListParagraph"/>
        <w:ind w:left="0"/>
        <w:jc w:val="both"/>
        <w:rPr>
          <w:rFonts w:cstheme="minorHAnsi"/>
          <w:sz w:val="24"/>
          <w:szCs w:val="24"/>
          <w:lang w:val="el-GR"/>
        </w:rPr>
      </w:pPr>
    </w:p>
    <w:p w14:paraId="7BC1B669" w14:textId="77777777" w:rsidR="00F660B0" w:rsidRPr="00F660B0" w:rsidRDefault="00F660B0" w:rsidP="00F660B0">
      <w:pPr>
        <w:pStyle w:val="ListParagraph"/>
        <w:ind w:left="0"/>
        <w:jc w:val="both"/>
        <w:rPr>
          <w:rFonts w:cstheme="minorHAnsi"/>
          <w:sz w:val="24"/>
          <w:szCs w:val="24"/>
          <w:lang w:val="el-GR"/>
        </w:rPr>
      </w:pPr>
      <w:r w:rsidRPr="00F660B0">
        <w:rPr>
          <w:rFonts w:cstheme="minorHAnsi"/>
          <w:sz w:val="24"/>
          <w:szCs w:val="24"/>
          <w:lang w:val="el-GR"/>
        </w:rPr>
        <w:t>Το Διοικητικό Συμβούλιο του Οργανισμού ασκώντας τις εξουσίες που του παρέχει ο  Νόμος,  και συγκεκριμένα το άρθρο 5. 2 (του  «ΜΕΡΟΣ ΤΡΙΤΟΝ ΣΚΟΠΟΣ ΤΟΥ ΟΡΓΑΝΙΣΜΟΥ ΚΑΙ ΑΡΜΟΔΙΟΤΗΤΕΣ ΤΟΥ ΔΙΟΙΚΗΤΙΚΟΥ ΣΥΜΒΟΥΛΙΟΥ» :</w:t>
      </w:r>
    </w:p>
    <w:p w14:paraId="517FDDDE" w14:textId="77777777" w:rsidR="00F660B0" w:rsidRPr="00F660B0" w:rsidRDefault="00F660B0" w:rsidP="00F660B0">
      <w:pPr>
        <w:pStyle w:val="ListParagraph"/>
        <w:ind w:left="0"/>
        <w:jc w:val="both"/>
        <w:rPr>
          <w:rFonts w:cstheme="minorHAnsi"/>
          <w:sz w:val="24"/>
          <w:szCs w:val="24"/>
          <w:lang w:val="el-GR"/>
        </w:rPr>
      </w:pPr>
    </w:p>
    <w:p w14:paraId="316F7414" w14:textId="77777777" w:rsidR="00F660B0" w:rsidRPr="00F660B0" w:rsidRDefault="00F660B0" w:rsidP="00F660B0">
      <w:pPr>
        <w:pStyle w:val="ListParagraph"/>
        <w:ind w:left="0"/>
        <w:jc w:val="both"/>
        <w:rPr>
          <w:rFonts w:cstheme="minorHAnsi"/>
          <w:sz w:val="24"/>
          <w:szCs w:val="24"/>
          <w:lang w:val="el-GR"/>
        </w:rPr>
      </w:pPr>
      <w:r w:rsidRPr="00F660B0">
        <w:rPr>
          <w:rFonts w:cstheme="minorHAnsi"/>
          <w:sz w:val="24"/>
          <w:szCs w:val="24"/>
          <w:lang w:val="el-GR"/>
        </w:rPr>
        <w:lastRenderedPageBreak/>
        <w:t>(ιστ) συνιστά οιασδήποτε επιτροπάς, σώματα ή όργανα των οποίων η σύστασις ήθελε κριθή επιθυμητή.</w:t>
      </w:r>
    </w:p>
    <w:p w14:paraId="1BC4E25C" w14:textId="77777777" w:rsidR="00F660B0" w:rsidRPr="00F660B0" w:rsidRDefault="00F660B0" w:rsidP="00F660B0">
      <w:pPr>
        <w:pStyle w:val="ListParagraph"/>
        <w:ind w:left="0"/>
        <w:jc w:val="both"/>
        <w:rPr>
          <w:rFonts w:cstheme="minorHAnsi"/>
          <w:sz w:val="24"/>
          <w:szCs w:val="24"/>
          <w:lang w:val="el-GR"/>
        </w:rPr>
      </w:pPr>
      <w:r w:rsidRPr="00F660B0">
        <w:rPr>
          <w:rFonts w:cstheme="minorHAnsi"/>
          <w:sz w:val="24"/>
          <w:szCs w:val="24"/>
          <w:lang w:val="el-GR"/>
        </w:rPr>
        <w:t>(ιζ) αναθέτη εις οιανδήποτε υπ’ αυτού συσταθείσαν επιτροπήν, όργανον ή σώμα την άσκησιν οιασδήποτε των υπό του παρόντος Νόμου χορηγουμένων αυτώ αρμοδιοτήτων.</w:t>
      </w:r>
    </w:p>
    <w:p w14:paraId="6B2C94A6" w14:textId="77777777" w:rsidR="00F660B0" w:rsidRPr="00F660B0" w:rsidRDefault="00F660B0" w:rsidP="00F660B0">
      <w:pPr>
        <w:pStyle w:val="ListParagraph"/>
        <w:ind w:left="0"/>
        <w:jc w:val="both"/>
        <w:rPr>
          <w:rFonts w:cstheme="minorHAnsi"/>
          <w:sz w:val="24"/>
          <w:szCs w:val="24"/>
          <w:lang w:val="el-GR"/>
        </w:rPr>
      </w:pPr>
    </w:p>
    <w:p w14:paraId="284F8B1C" w14:textId="77777777" w:rsidR="00F660B0" w:rsidRPr="00F660B0" w:rsidRDefault="00F660B0" w:rsidP="00F660B0">
      <w:pPr>
        <w:pStyle w:val="ListParagraph"/>
        <w:ind w:left="0"/>
        <w:jc w:val="both"/>
        <w:rPr>
          <w:rFonts w:cstheme="minorHAnsi"/>
          <w:sz w:val="24"/>
          <w:szCs w:val="24"/>
          <w:lang w:val="el-GR"/>
        </w:rPr>
      </w:pPr>
      <w:r w:rsidRPr="00F660B0">
        <w:rPr>
          <w:rFonts w:cstheme="minorHAnsi"/>
          <w:sz w:val="24"/>
          <w:szCs w:val="24"/>
          <w:lang w:val="el-GR"/>
        </w:rPr>
        <w:t>Λαμβάνοντας υπόψη τα πιο πάνω άρθρα του Περι ΚΟΑ Νόμου, το Διοικητικό Συμβούλιο του Οργανισμού, έχει συστήσει την Επιστημονική Επιτροπή Ανώτατο Συμβούλιο Υγείας Αθλητών (ΑΣΥΑ) της οποίας οι όροι εντολής της έχουν εγκριθεί στην 46ή Συνεδρία του Διοικητικού Συμβουλίου του Οργανισμού ημερομηνίας 3 Νοεμβρίου 2011.</w:t>
      </w:r>
    </w:p>
    <w:p w14:paraId="0E986CBE" w14:textId="77777777" w:rsidR="00F660B0" w:rsidRPr="00F660B0" w:rsidRDefault="00F660B0" w:rsidP="00F660B0">
      <w:pPr>
        <w:jc w:val="both"/>
        <w:rPr>
          <w:rFonts w:cstheme="minorHAnsi"/>
          <w:sz w:val="24"/>
          <w:szCs w:val="24"/>
          <w:lang w:val="el-GR"/>
        </w:rPr>
      </w:pPr>
    </w:p>
    <w:p w14:paraId="08907803" w14:textId="77777777" w:rsidR="00F660B0" w:rsidRPr="00F660B0" w:rsidRDefault="00F660B0" w:rsidP="00F660B0">
      <w:pPr>
        <w:jc w:val="both"/>
        <w:rPr>
          <w:rFonts w:cstheme="minorHAnsi"/>
          <w:sz w:val="24"/>
          <w:szCs w:val="24"/>
          <w:lang w:val="el-GR"/>
        </w:rPr>
      </w:pPr>
      <w:r w:rsidRPr="00F660B0">
        <w:rPr>
          <w:rFonts w:cstheme="minorHAnsi"/>
          <w:sz w:val="24"/>
          <w:szCs w:val="24"/>
          <w:lang w:val="el-GR"/>
        </w:rPr>
        <w:t>Η Ε.Ε. ΑΣΥΑ λαμβάνοντας υπόψη και αξιολογώντας, την βιβλιογραφία, τις επιστημονικές και ερευνητικές βάσεις δεδομένων, όλες τις επιστημονικές δημοσιεύσεις και συστάσεις, και κυρίως τις επικαιροποιημένες κατευθυντήριες οδηγίες των παγκοσμίων και ευρωπαϊκών  προτύπων που  αφορούν τον προαθλητικό και παθολογικό ιατρικό έλεγχο,    για την πρόληψη του Αιφνίδιου Καρδιακού Θανάτου (ΑΚΘ) και του απαραίτητου ιατρικού, έχει την ευθύνη του καθορισμού των ιατρικών και παρακλινικών εξετάσεων, και της εν γένει απαιτούμενης ιατρικής διαδικασίας για την υποβολή αίτησης για έκδοση Δελτίου Υγείας Αθλητών ΚΟΑ.</w:t>
      </w:r>
    </w:p>
    <w:p w14:paraId="2958CD67" w14:textId="77777777" w:rsidR="00F660B0" w:rsidRPr="00F660B0" w:rsidRDefault="00F660B0" w:rsidP="00F660B0">
      <w:pPr>
        <w:pStyle w:val="ListParagraph"/>
        <w:ind w:left="0"/>
        <w:jc w:val="both"/>
        <w:rPr>
          <w:rFonts w:cstheme="minorHAnsi"/>
          <w:sz w:val="24"/>
          <w:szCs w:val="24"/>
          <w:lang w:val="el-GR"/>
        </w:rPr>
      </w:pPr>
    </w:p>
    <w:p w14:paraId="4ECCB8BE" w14:textId="77777777" w:rsidR="00F660B0" w:rsidRPr="00F660B0" w:rsidRDefault="00F660B0" w:rsidP="00F660B0">
      <w:pPr>
        <w:pStyle w:val="ListParagraph"/>
        <w:ind w:left="0"/>
        <w:jc w:val="both"/>
        <w:rPr>
          <w:rFonts w:cstheme="minorHAnsi"/>
          <w:sz w:val="24"/>
          <w:szCs w:val="24"/>
          <w:lang w:val="el-GR"/>
        </w:rPr>
      </w:pPr>
      <w:r w:rsidRPr="00F660B0">
        <w:rPr>
          <w:rFonts w:cstheme="minorHAnsi"/>
          <w:sz w:val="24"/>
          <w:szCs w:val="24"/>
          <w:lang w:val="el-GR"/>
        </w:rPr>
        <w:t>Περαιτέρω και κατόπιν εισηγήσεων της Ε.Ε. ΑΣΥΑ, το Δ.Σ. του Οργανισμού έχει συστήσει ως υποεπιτροπές, τις Ιατρικές Επιτροπές Αξιολόγησης, οι οποίες συνεδριάζουν και αξιολογούν δευτερογενώς, τις ιατρικές εξετάσεις που υποβάλλουν οι αθλούμενοι.</w:t>
      </w:r>
    </w:p>
    <w:p w14:paraId="1ED82013" w14:textId="77777777" w:rsidR="00F660B0" w:rsidRPr="00F660B0" w:rsidRDefault="00F660B0" w:rsidP="00F660B0">
      <w:pPr>
        <w:pStyle w:val="ListParagraph"/>
        <w:ind w:left="0"/>
        <w:jc w:val="both"/>
        <w:rPr>
          <w:rFonts w:eastAsia="Times New Roman" w:cstheme="minorHAnsi"/>
          <w:sz w:val="24"/>
          <w:szCs w:val="24"/>
          <w:lang w:val="el-GR"/>
        </w:rPr>
      </w:pPr>
    </w:p>
    <w:p w14:paraId="64534494" w14:textId="77777777" w:rsidR="00F660B0" w:rsidRPr="00F660B0" w:rsidRDefault="00F660B0" w:rsidP="00F660B0">
      <w:pPr>
        <w:overflowPunct w:val="0"/>
        <w:autoSpaceDE w:val="0"/>
        <w:autoSpaceDN w:val="0"/>
        <w:jc w:val="both"/>
        <w:rPr>
          <w:rFonts w:cstheme="minorHAnsi"/>
          <w:b/>
          <w:bCs/>
          <w:sz w:val="24"/>
          <w:szCs w:val="24"/>
          <w:u w:val="single"/>
          <w:lang w:val="el-GR"/>
        </w:rPr>
      </w:pPr>
      <w:r w:rsidRPr="00F660B0">
        <w:rPr>
          <w:rFonts w:cstheme="minorHAnsi"/>
          <w:b/>
          <w:bCs/>
          <w:sz w:val="24"/>
          <w:szCs w:val="24"/>
          <w:u w:val="single"/>
          <w:lang w:val="el-GR"/>
        </w:rPr>
        <w:t>3.5 Αξιολόγηση Δελτίων Υγείας &amp; Ιατρικές Επιτροπές Αξιολόγησης Δελτίων Υγείας</w:t>
      </w:r>
    </w:p>
    <w:p w14:paraId="697ACD23" w14:textId="77777777" w:rsidR="00F660B0" w:rsidRPr="00F660B0" w:rsidRDefault="00F660B0" w:rsidP="00F660B0">
      <w:pPr>
        <w:overflowPunct w:val="0"/>
        <w:autoSpaceDE w:val="0"/>
        <w:autoSpaceDN w:val="0"/>
        <w:jc w:val="both"/>
        <w:rPr>
          <w:rFonts w:cstheme="minorHAnsi"/>
          <w:sz w:val="24"/>
          <w:szCs w:val="24"/>
          <w:lang w:val="el-GR"/>
        </w:rPr>
      </w:pPr>
    </w:p>
    <w:p w14:paraId="271C9CB8" w14:textId="77777777" w:rsidR="00F660B0" w:rsidRPr="00F660B0" w:rsidRDefault="00F660B0" w:rsidP="00F660B0">
      <w:pPr>
        <w:overflowPunct w:val="0"/>
        <w:autoSpaceDE w:val="0"/>
        <w:autoSpaceDN w:val="0"/>
        <w:jc w:val="both"/>
        <w:rPr>
          <w:rFonts w:cstheme="minorHAnsi"/>
          <w:sz w:val="24"/>
          <w:szCs w:val="24"/>
          <w:lang w:val="el-GR"/>
        </w:rPr>
      </w:pPr>
      <w:r w:rsidRPr="00F660B0">
        <w:rPr>
          <w:rFonts w:cstheme="minorHAnsi"/>
          <w:sz w:val="24"/>
          <w:szCs w:val="24"/>
          <w:lang w:val="el-GR"/>
        </w:rPr>
        <w:t xml:space="preserve">Η Αξιολόγηση των αιτήσεων για την έκδοση Δελτίου Υγείας, οι οποίες έχουν ορθώς υποβληθεί, διενεργείται από τις </w:t>
      </w:r>
      <w:r w:rsidRPr="00F660B0">
        <w:rPr>
          <w:rFonts w:cstheme="minorHAnsi"/>
          <w:b/>
          <w:bCs/>
          <w:sz w:val="24"/>
          <w:szCs w:val="24"/>
          <w:lang w:val="el-GR"/>
        </w:rPr>
        <w:t xml:space="preserve">«Ιατρικές Επιτροπές Αξιολόγησης» </w:t>
      </w:r>
      <w:r w:rsidRPr="00F660B0">
        <w:rPr>
          <w:rFonts w:cstheme="minorHAnsi"/>
          <w:sz w:val="24"/>
          <w:szCs w:val="24"/>
          <w:lang w:val="el-GR"/>
        </w:rPr>
        <w:t>οι οποίες αξιολογούν</w:t>
      </w:r>
      <w:r w:rsidRPr="00F660B0">
        <w:rPr>
          <w:rFonts w:cstheme="minorHAnsi"/>
          <w:b/>
          <w:bCs/>
          <w:sz w:val="24"/>
          <w:szCs w:val="24"/>
          <w:lang w:val="el-GR"/>
        </w:rPr>
        <w:t xml:space="preserve"> </w:t>
      </w:r>
      <w:r w:rsidRPr="00F660B0">
        <w:rPr>
          <w:rFonts w:cstheme="minorHAnsi"/>
          <w:b/>
          <w:bCs/>
          <w:sz w:val="24"/>
          <w:szCs w:val="24"/>
          <w:u w:val="single"/>
          <w:lang w:val="el-GR"/>
        </w:rPr>
        <w:t>δευτερογενώς</w:t>
      </w:r>
      <w:r w:rsidRPr="00F660B0">
        <w:rPr>
          <w:rFonts w:cstheme="minorHAnsi"/>
          <w:sz w:val="24"/>
          <w:szCs w:val="24"/>
          <w:lang w:val="el-GR"/>
        </w:rPr>
        <w:t xml:space="preserve"> τα ιατρικά πιστοποιητικά και τις ιατρικές εξετάσεις που προσκομίζουν και θέτουν ενώπιον τους οι αθλητές/τριες.</w:t>
      </w:r>
    </w:p>
    <w:p w14:paraId="0FB512FE" w14:textId="77777777" w:rsidR="00F660B0" w:rsidRPr="00F660B0" w:rsidRDefault="00F660B0" w:rsidP="00F660B0">
      <w:pPr>
        <w:overflowPunct w:val="0"/>
        <w:autoSpaceDE w:val="0"/>
        <w:autoSpaceDN w:val="0"/>
        <w:jc w:val="both"/>
        <w:rPr>
          <w:rFonts w:cstheme="minorHAnsi"/>
          <w:color w:val="000000"/>
          <w:sz w:val="24"/>
          <w:szCs w:val="24"/>
          <w:bdr w:val="none" w:sz="0" w:space="0" w:color="auto" w:frame="1"/>
          <w:shd w:val="clear" w:color="auto" w:fill="FFFFFF"/>
          <w:lang w:val="el-GR"/>
        </w:rPr>
      </w:pPr>
    </w:p>
    <w:p w14:paraId="30A64D13" w14:textId="77777777" w:rsidR="00F660B0" w:rsidRPr="00F660B0" w:rsidRDefault="00F660B0" w:rsidP="00F660B0">
      <w:pPr>
        <w:overflowPunct w:val="0"/>
        <w:autoSpaceDE w:val="0"/>
        <w:autoSpaceDN w:val="0"/>
        <w:jc w:val="both"/>
        <w:rPr>
          <w:rFonts w:cstheme="minorHAnsi"/>
          <w:color w:val="000000"/>
          <w:sz w:val="24"/>
          <w:szCs w:val="24"/>
          <w:bdr w:val="none" w:sz="0" w:space="0" w:color="auto" w:frame="1"/>
          <w:shd w:val="clear" w:color="auto" w:fill="FFFFFF"/>
          <w:lang w:val="el-GR"/>
        </w:rPr>
      </w:pPr>
      <w:r w:rsidRPr="00F660B0">
        <w:rPr>
          <w:rFonts w:cstheme="minorHAnsi"/>
          <w:color w:val="000000"/>
          <w:sz w:val="24"/>
          <w:szCs w:val="24"/>
          <w:bdr w:val="none" w:sz="0" w:space="0" w:color="auto" w:frame="1"/>
          <w:shd w:val="clear" w:color="auto" w:fill="FFFFFF"/>
          <w:lang w:val="el-GR"/>
        </w:rPr>
        <w:t xml:space="preserve">Η Επιστημονική Επιτροπή Ανώτατο Συμβούλιο Υγείας Αθλητών (ΑΣΥΑ) και οι Ιατρικές Επιτροπές Αξιολόγησης αναλόγως των ευρημάτων των υποχρεωτικών ιατρικών και παρακλινικών εξετάσεων, σύμφωνα με την επιστημονική τους αξιολόγηση έχουν το δικαίωμα να παραπέμπουν τον αθλητή για περαιτέρω συμπληρωματικές εξετάσεις. </w:t>
      </w:r>
    </w:p>
    <w:p w14:paraId="76E7B195" w14:textId="77777777" w:rsidR="00F660B0" w:rsidRPr="00F660B0" w:rsidRDefault="00F660B0" w:rsidP="00F660B0">
      <w:pPr>
        <w:overflowPunct w:val="0"/>
        <w:autoSpaceDE w:val="0"/>
        <w:autoSpaceDN w:val="0"/>
        <w:jc w:val="both"/>
        <w:rPr>
          <w:rFonts w:cstheme="minorHAnsi"/>
          <w:color w:val="000000"/>
          <w:sz w:val="24"/>
          <w:szCs w:val="24"/>
          <w:bdr w:val="none" w:sz="0" w:space="0" w:color="auto" w:frame="1"/>
          <w:shd w:val="clear" w:color="auto" w:fill="FFFFFF"/>
          <w:lang w:val="el-GR"/>
        </w:rPr>
      </w:pPr>
    </w:p>
    <w:p w14:paraId="31949F9C" w14:textId="77777777" w:rsidR="00F660B0" w:rsidRPr="00F660B0" w:rsidRDefault="00F660B0" w:rsidP="00F660B0">
      <w:pPr>
        <w:overflowPunct w:val="0"/>
        <w:autoSpaceDE w:val="0"/>
        <w:autoSpaceDN w:val="0"/>
        <w:jc w:val="both"/>
        <w:rPr>
          <w:rFonts w:cstheme="minorHAnsi"/>
          <w:color w:val="000000"/>
          <w:sz w:val="24"/>
          <w:szCs w:val="24"/>
          <w:bdr w:val="none" w:sz="0" w:space="0" w:color="auto" w:frame="1"/>
          <w:shd w:val="clear" w:color="auto" w:fill="FFFFFF"/>
          <w:lang w:val="el-GR"/>
        </w:rPr>
      </w:pPr>
      <w:r w:rsidRPr="00F660B0">
        <w:rPr>
          <w:rFonts w:cstheme="minorHAnsi"/>
          <w:color w:val="000000"/>
          <w:sz w:val="24"/>
          <w:szCs w:val="24"/>
          <w:bdr w:val="none" w:sz="0" w:space="0" w:color="auto" w:frame="1"/>
          <w:shd w:val="clear" w:color="auto" w:fill="FFFFFF"/>
          <w:lang w:val="el-GR"/>
        </w:rPr>
        <w:t>Το Δελτίο Υγείας Αθλητών ΚΟΑ δεν εκδίδεται μέχρι την προσκόμιση των συμπληρωματικών εξετάσεων και της επαναξιολόγησης του από Ιατρική Επιτροπή Αξιολόγησης.</w:t>
      </w:r>
    </w:p>
    <w:p w14:paraId="2DBBEE87" w14:textId="77777777" w:rsidR="00F660B0" w:rsidRPr="00F660B0" w:rsidRDefault="00F660B0" w:rsidP="00F660B0">
      <w:pPr>
        <w:overflowPunct w:val="0"/>
        <w:autoSpaceDE w:val="0"/>
        <w:autoSpaceDN w:val="0"/>
        <w:jc w:val="both"/>
        <w:rPr>
          <w:rFonts w:cstheme="minorHAnsi"/>
          <w:color w:val="000000"/>
          <w:sz w:val="24"/>
          <w:szCs w:val="24"/>
          <w:bdr w:val="none" w:sz="0" w:space="0" w:color="auto" w:frame="1"/>
          <w:shd w:val="clear" w:color="auto" w:fill="FFFFFF"/>
          <w:lang w:val="el-GR"/>
        </w:rPr>
      </w:pPr>
    </w:p>
    <w:p w14:paraId="1DBA7621" w14:textId="77777777" w:rsidR="00F660B0" w:rsidRPr="00F660B0" w:rsidRDefault="00F660B0" w:rsidP="00F660B0">
      <w:pPr>
        <w:overflowPunct w:val="0"/>
        <w:autoSpaceDE w:val="0"/>
        <w:autoSpaceDN w:val="0"/>
        <w:jc w:val="both"/>
        <w:rPr>
          <w:rFonts w:cstheme="minorHAnsi"/>
          <w:color w:val="000000"/>
          <w:sz w:val="24"/>
          <w:szCs w:val="24"/>
          <w:bdr w:val="none" w:sz="0" w:space="0" w:color="auto" w:frame="1"/>
          <w:shd w:val="clear" w:color="auto" w:fill="FFFFFF"/>
          <w:lang w:val="el-GR"/>
        </w:rPr>
      </w:pPr>
    </w:p>
    <w:p w14:paraId="15529599" w14:textId="77777777" w:rsidR="00F660B0" w:rsidRPr="00F660B0" w:rsidRDefault="00F660B0" w:rsidP="00F660B0">
      <w:pPr>
        <w:overflowPunct w:val="0"/>
        <w:autoSpaceDE w:val="0"/>
        <w:autoSpaceDN w:val="0"/>
        <w:jc w:val="both"/>
        <w:rPr>
          <w:rFonts w:cstheme="minorHAnsi"/>
          <w:color w:val="000000"/>
          <w:sz w:val="24"/>
          <w:szCs w:val="24"/>
          <w:bdr w:val="none" w:sz="0" w:space="0" w:color="auto" w:frame="1"/>
          <w:shd w:val="clear" w:color="auto" w:fill="FFFFFF"/>
          <w:lang w:val="el-GR"/>
        </w:rPr>
      </w:pPr>
    </w:p>
    <w:p w14:paraId="1C41DE9C" w14:textId="77777777" w:rsidR="00F660B0" w:rsidRDefault="00F660B0" w:rsidP="00F660B0">
      <w:pPr>
        <w:overflowPunct w:val="0"/>
        <w:autoSpaceDE w:val="0"/>
        <w:autoSpaceDN w:val="0"/>
        <w:jc w:val="both"/>
        <w:rPr>
          <w:rFonts w:cstheme="minorHAnsi"/>
          <w:color w:val="000000"/>
          <w:sz w:val="24"/>
          <w:szCs w:val="24"/>
          <w:bdr w:val="none" w:sz="0" w:space="0" w:color="auto" w:frame="1"/>
          <w:shd w:val="clear" w:color="auto" w:fill="FFFFFF"/>
          <w:lang w:val="el-GR"/>
        </w:rPr>
      </w:pPr>
    </w:p>
    <w:p w14:paraId="455E18A1" w14:textId="77777777" w:rsidR="00F660B0" w:rsidRDefault="00F660B0" w:rsidP="00F660B0">
      <w:pPr>
        <w:overflowPunct w:val="0"/>
        <w:autoSpaceDE w:val="0"/>
        <w:autoSpaceDN w:val="0"/>
        <w:jc w:val="both"/>
        <w:rPr>
          <w:rFonts w:cstheme="minorHAnsi"/>
          <w:color w:val="000000"/>
          <w:sz w:val="24"/>
          <w:szCs w:val="24"/>
          <w:bdr w:val="none" w:sz="0" w:space="0" w:color="auto" w:frame="1"/>
          <w:shd w:val="clear" w:color="auto" w:fill="FFFFFF"/>
          <w:lang w:val="el-GR"/>
        </w:rPr>
      </w:pPr>
    </w:p>
    <w:p w14:paraId="4C3A06CE" w14:textId="77777777" w:rsidR="00F660B0" w:rsidRPr="00F660B0" w:rsidRDefault="00F660B0" w:rsidP="00F660B0">
      <w:pPr>
        <w:overflowPunct w:val="0"/>
        <w:autoSpaceDE w:val="0"/>
        <w:autoSpaceDN w:val="0"/>
        <w:jc w:val="both"/>
        <w:rPr>
          <w:rFonts w:cstheme="minorHAnsi"/>
          <w:color w:val="000000"/>
          <w:sz w:val="24"/>
          <w:szCs w:val="24"/>
          <w:bdr w:val="none" w:sz="0" w:space="0" w:color="auto" w:frame="1"/>
          <w:shd w:val="clear" w:color="auto" w:fill="FFFFFF"/>
          <w:lang w:val="el-GR"/>
        </w:rPr>
      </w:pPr>
    </w:p>
    <w:p w14:paraId="2605B9DA" w14:textId="77777777" w:rsidR="00F660B0" w:rsidRPr="00F660B0" w:rsidRDefault="00F660B0" w:rsidP="00F660B0">
      <w:pPr>
        <w:overflowPunct w:val="0"/>
        <w:autoSpaceDE w:val="0"/>
        <w:autoSpaceDN w:val="0"/>
        <w:jc w:val="both"/>
        <w:rPr>
          <w:rFonts w:cstheme="minorHAnsi"/>
          <w:b/>
          <w:bCs/>
          <w:color w:val="000000"/>
          <w:sz w:val="24"/>
          <w:szCs w:val="24"/>
          <w:u w:val="single"/>
          <w:bdr w:val="none" w:sz="0" w:space="0" w:color="auto" w:frame="1"/>
          <w:shd w:val="clear" w:color="auto" w:fill="FFFFFF"/>
          <w:lang w:val="el-GR"/>
        </w:rPr>
      </w:pPr>
      <w:r w:rsidRPr="00F660B0">
        <w:rPr>
          <w:rFonts w:cstheme="minorHAnsi"/>
          <w:b/>
          <w:bCs/>
          <w:color w:val="000000"/>
          <w:sz w:val="24"/>
          <w:szCs w:val="24"/>
          <w:u w:val="single"/>
          <w:bdr w:val="none" w:sz="0" w:space="0" w:color="auto" w:frame="1"/>
          <w:shd w:val="clear" w:color="auto" w:fill="FFFFFF"/>
          <w:lang w:val="el-GR"/>
        </w:rPr>
        <w:lastRenderedPageBreak/>
        <w:t xml:space="preserve">3.6 Ποινές &amp; Κυρώσεις </w:t>
      </w:r>
    </w:p>
    <w:p w14:paraId="44B795FE" w14:textId="77777777" w:rsidR="00F660B0" w:rsidRPr="00AC26D2" w:rsidRDefault="00F660B0" w:rsidP="00F660B0">
      <w:pPr>
        <w:pStyle w:val="indent2"/>
        <w:spacing w:before="0" w:beforeAutospacing="0" w:after="0" w:afterAutospacing="0"/>
        <w:jc w:val="both"/>
        <w:rPr>
          <w:rFonts w:asciiTheme="minorHAnsi" w:hAnsiTheme="minorHAnsi" w:cstheme="minorHAnsi"/>
          <w:color w:val="000000"/>
          <w:lang w:val="el-GR"/>
        </w:rPr>
      </w:pPr>
    </w:p>
    <w:p w14:paraId="52021B25" w14:textId="77777777" w:rsidR="00F660B0" w:rsidRPr="00AC26D2" w:rsidRDefault="00F660B0" w:rsidP="00F660B0">
      <w:pPr>
        <w:pStyle w:val="indent2"/>
        <w:spacing w:before="0" w:beforeAutospacing="0" w:after="0" w:afterAutospacing="0" w:line="276" w:lineRule="auto"/>
        <w:jc w:val="both"/>
        <w:rPr>
          <w:rFonts w:asciiTheme="minorHAnsi" w:hAnsiTheme="minorHAnsi" w:cstheme="minorHAnsi"/>
          <w:color w:val="000000"/>
          <w:lang w:val="el-GR"/>
        </w:rPr>
      </w:pPr>
      <w:r w:rsidRPr="00AC26D2">
        <w:rPr>
          <w:rFonts w:asciiTheme="minorHAnsi" w:hAnsiTheme="minorHAnsi" w:cstheme="minorHAnsi"/>
          <w:color w:val="000000"/>
          <w:lang w:val="el-GR"/>
        </w:rPr>
        <w:t>Ενέργειες, Πράξεις ή Παραλήψεις που συνιστούν παράβαση ή μη συμμόρφωση στις διατάξεις της παρούσας απόφασης του Διοικητικού Συμβουλίου του Οργανισμού, ο ΚΟΑ έχει το δικαίωμα επιβολής των πιο κάτω ποινών ή κυρώσεων:</w:t>
      </w:r>
    </w:p>
    <w:p w14:paraId="35D84D88" w14:textId="77777777" w:rsidR="00F660B0" w:rsidRPr="00F660B0" w:rsidRDefault="00F660B0" w:rsidP="00F660B0">
      <w:pPr>
        <w:widowControl w:val="0"/>
        <w:shd w:val="clear" w:color="auto" w:fill="FFFFFF"/>
        <w:tabs>
          <w:tab w:val="left" w:pos="439"/>
        </w:tabs>
        <w:autoSpaceDE w:val="0"/>
        <w:autoSpaceDN w:val="0"/>
        <w:adjustRightInd w:val="0"/>
        <w:jc w:val="both"/>
        <w:rPr>
          <w:rFonts w:cstheme="minorHAnsi"/>
          <w:color w:val="000000"/>
          <w:sz w:val="24"/>
          <w:szCs w:val="24"/>
          <w:lang w:val="el-GR"/>
        </w:rPr>
      </w:pPr>
    </w:p>
    <w:p w14:paraId="4623343F" w14:textId="77777777" w:rsidR="00F660B0" w:rsidRPr="00F660B0" w:rsidRDefault="00F660B0" w:rsidP="00F660B0">
      <w:pPr>
        <w:pStyle w:val="ListParagraph"/>
        <w:widowControl w:val="0"/>
        <w:numPr>
          <w:ilvl w:val="0"/>
          <w:numId w:val="3"/>
        </w:numPr>
        <w:shd w:val="clear" w:color="auto" w:fill="FFFFFF"/>
        <w:tabs>
          <w:tab w:val="left" w:pos="439"/>
        </w:tabs>
        <w:autoSpaceDE w:val="0"/>
        <w:autoSpaceDN w:val="0"/>
        <w:adjustRightInd w:val="0"/>
        <w:spacing w:line="276" w:lineRule="auto"/>
        <w:ind w:left="0" w:firstLine="0"/>
        <w:jc w:val="both"/>
        <w:rPr>
          <w:rFonts w:cstheme="minorHAnsi"/>
          <w:color w:val="000000"/>
          <w:sz w:val="24"/>
          <w:szCs w:val="24"/>
          <w:lang w:val="el-GR"/>
        </w:rPr>
      </w:pPr>
      <w:r w:rsidRPr="00F660B0">
        <w:rPr>
          <w:rFonts w:cstheme="minorHAnsi"/>
          <w:color w:val="000000"/>
          <w:sz w:val="24"/>
          <w:szCs w:val="24"/>
          <w:lang w:val="el-GR"/>
        </w:rPr>
        <w:t>Μη ενεργοποίηση του σχεδιασμού των Αθλητικών Ανταλλαγών των  Ομοσπονδιών μέσα από τον Σχεδιασμό των Διεθνών Σχέσεων και Πρωτοκόλλων.</w:t>
      </w:r>
    </w:p>
    <w:p w14:paraId="4F98268F" w14:textId="77777777" w:rsidR="00F660B0" w:rsidRPr="00F660B0" w:rsidRDefault="00F660B0" w:rsidP="00F660B0">
      <w:pPr>
        <w:pStyle w:val="ListParagraph"/>
        <w:widowControl w:val="0"/>
        <w:numPr>
          <w:ilvl w:val="0"/>
          <w:numId w:val="3"/>
        </w:numPr>
        <w:shd w:val="clear" w:color="auto" w:fill="FFFFFF"/>
        <w:tabs>
          <w:tab w:val="left" w:pos="439"/>
        </w:tabs>
        <w:autoSpaceDE w:val="0"/>
        <w:autoSpaceDN w:val="0"/>
        <w:adjustRightInd w:val="0"/>
        <w:spacing w:line="276" w:lineRule="auto"/>
        <w:ind w:left="0" w:firstLine="0"/>
        <w:jc w:val="both"/>
        <w:rPr>
          <w:rFonts w:cstheme="minorHAnsi"/>
          <w:color w:val="000000"/>
          <w:sz w:val="24"/>
          <w:szCs w:val="24"/>
          <w:lang w:val="el-GR"/>
        </w:rPr>
      </w:pPr>
      <w:r w:rsidRPr="00F660B0">
        <w:rPr>
          <w:rFonts w:cstheme="minorHAnsi"/>
          <w:color w:val="000000"/>
          <w:sz w:val="24"/>
          <w:szCs w:val="24"/>
          <w:lang w:val="el-GR"/>
        </w:rPr>
        <w:t xml:space="preserve">Μη καταβολή χορηγίας του ΚΟΑ στην Ομοσπονδία, Σωματείο και Αθλητή/τρια για συμμετοχή σε Διεθνείς και Ευρωπαϊκές  Διοργανώσεις ή αγώνες στο εξωτερικό. </w:t>
      </w:r>
    </w:p>
    <w:p w14:paraId="1B0C1557" w14:textId="77777777" w:rsidR="00F660B0" w:rsidRPr="00F660B0" w:rsidRDefault="00F660B0" w:rsidP="00F660B0">
      <w:pPr>
        <w:pStyle w:val="ListParagraph"/>
        <w:widowControl w:val="0"/>
        <w:numPr>
          <w:ilvl w:val="0"/>
          <w:numId w:val="3"/>
        </w:numPr>
        <w:shd w:val="clear" w:color="auto" w:fill="FFFFFF"/>
        <w:tabs>
          <w:tab w:val="left" w:pos="439"/>
        </w:tabs>
        <w:autoSpaceDE w:val="0"/>
        <w:autoSpaceDN w:val="0"/>
        <w:adjustRightInd w:val="0"/>
        <w:spacing w:line="276" w:lineRule="auto"/>
        <w:ind w:left="0" w:firstLine="0"/>
        <w:jc w:val="both"/>
        <w:rPr>
          <w:rFonts w:cstheme="minorHAnsi"/>
          <w:color w:val="000000"/>
          <w:sz w:val="24"/>
          <w:szCs w:val="24"/>
          <w:lang w:val="el-GR"/>
        </w:rPr>
      </w:pPr>
      <w:r w:rsidRPr="00F660B0">
        <w:rPr>
          <w:rFonts w:cstheme="minorHAnsi"/>
          <w:color w:val="000000"/>
          <w:sz w:val="24"/>
          <w:szCs w:val="24"/>
          <w:lang w:val="el-GR"/>
        </w:rPr>
        <w:t xml:space="preserve">Αγώνες οι οποίοι διεξάγονται χωρίς οι συμμετέχοντες να είναι κάτοχοι Δελτίου Υγείας Αθλητών ΚΟΑ σε ισχύ δεν θα τυγχάνουν αναγνώρισης από τον Οργανισμό. </w:t>
      </w:r>
    </w:p>
    <w:p w14:paraId="399B78D5" w14:textId="77777777" w:rsidR="00F660B0" w:rsidRPr="00F660B0" w:rsidRDefault="00F660B0" w:rsidP="00F660B0">
      <w:pPr>
        <w:pStyle w:val="ListParagraph"/>
        <w:widowControl w:val="0"/>
        <w:numPr>
          <w:ilvl w:val="0"/>
          <w:numId w:val="3"/>
        </w:numPr>
        <w:shd w:val="clear" w:color="auto" w:fill="FFFFFF"/>
        <w:tabs>
          <w:tab w:val="left" w:pos="439"/>
        </w:tabs>
        <w:autoSpaceDE w:val="0"/>
        <w:autoSpaceDN w:val="0"/>
        <w:adjustRightInd w:val="0"/>
        <w:spacing w:line="276" w:lineRule="auto"/>
        <w:ind w:left="0" w:firstLine="0"/>
        <w:jc w:val="both"/>
        <w:rPr>
          <w:rFonts w:cstheme="minorHAnsi"/>
          <w:color w:val="000000"/>
          <w:spacing w:val="-21"/>
          <w:sz w:val="24"/>
          <w:szCs w:val="24"/>
          <w:lang w:val="el-GR"/>
        </w:rPr>
      </w:pPr>
      <w:r w:rsidRPr="00F660B0">
        <w:rPr>
          <w:rFonts w:cstheme="minorHAnsi"/>
          <w:color w:val="000000"/>
          <w:spacing w:val="-4"/>
          <w:sz w:val="24"/>
          <w:szCs w:val="24"/>
          <w:lang w:val="el-GR"/>
        </w:rPr>
        <w:t xml:space="preserve">Αθλητές/τριες οι οποίοι δεν κατέχουν Δελτίο Υγείας Αθλητών ΚΟΑ σε ισχύ δεν θα επωφελούνται μέσα από το </w:t>
      </w:r>
      <w:r w:rsidRPr="00F660B0">
        <w:rPr>
          <w:rFonts w:cstheme="minorHAnsi"/>
          <w:color w:val="000000"/>
          <w:sz w:val="24"/>
          <w:szCs w:val="24"/>
          <w:lang w:val="el-GR"/>
        </w:rPr>
        <w:t>Σχέδιο Κινήτρων του ΚΟΑ και Ιατροφαρμακευτικής Αγωγής.</w:t>
      </w:r>
    </w:p>
    <w:p w14:paraId="1C774F22" w14:textId="77777777" w:rsidR="00F660B0" w:rsidRPr="00F660B0" w:rsidRDefault="00F660B0" w:rsidP="00F660B0">
      <w:pPr>
        <w:pStyle w:val="ListParagraph"/>
        <w:widowControl w:val="0"/>
        <w:numPr>
          <w:ilvl w:val="0"/>
          <w:numId w:val="3"/>
        </w:numPr>
        <w:shd w:val="clear" w:color="auto" w:fill="FFFFFF"/>
        <w:tabs>
          <w:tab w:val="left" w:pos="439"/>
        </w:tabs>
        <w:autoSpaceDE w:val="0"/>
        <w:autoSpaceDN w:val="0"/>
        <w:adjustRightInd w:val="0"/>
        <w:spacing w:line="276" w:lineRule="auto"/>
        <w:ind w:left="0" w:firstLine="0"/>
        <w:jc w:val="both"/>
        <w:rPr>
          <w:rFonts w:cstheme="minorHAnsi"/>
          <w:color w:val="000000"/>
          <w:spacing w:val="-4"/>
          <w:sz w:val="24"/>
          <w:szCs w:val="24"/>
          <w:lang w:val="el-GR"/>
        </w:rPr>
      </w:pPr>
      <w:r w:rsidRPr="00F660B0">
        <w:rPr>
          <w:rFonts w:cstheme="minorHAnsi"/>
          <w:color w:val="000000"/>
          <w:spacing w:val="-4"/>
          <w:sz w:val="24"/>
          <w:szCs w:val="24"/>
          <w:lang w:val="el-GR"/>
        </w:rPr>
        <w:t>Αθλητές/τριες που δεν κατέχουν Δελτίο Υγείας Αθλητών ΚΟΑ σε ισχύ δεν θα ασφαλίζονται εντάσσονται στο Σχέδιο Ασφάλισης του ΚΟΑ.</w:t>
      </w:r>
    </w:p>
    <w:p w14:paraId="28239755" w14:textId="77777777" w:rsidR="00F660B0" w:rsidRPr="00F660B0" w:rsidRDefault="00F660B0" w:rsidP="00F660B0">
      <w:pPr>
        <w:pStyle w:val="ListParagraph"/>
        <w:widowControl w:val="0"/>
        <w:numPr>
          <w:ilvl w:val="0"/>
          <w:numId w:val="3"/>
        </w:numPr>
        <w:shd w:val="clear" w:color="auto" w:fill="FFFFFF"/>
        <w:tabs>
          <w:tab w:val="left" w:pos="439"/>
        </w:tabs>
        <w:autoSpaceDE w:val="0"/>
        <w:autoSpaceDN w:val="0"/>
        <w:adjustRightInd w:val="0"/>
        <w:spacing w:line="276" w:lineRule="auto"/>
        <w:ind w:left="0" w:firstLine="0"/>
        <w:jc w:val="both"/>
        <w:rPr>
          <w:rFonts w:cstheme="minorHAnsi"/>
          <w:color w:val="000000"/>
          <w:spacing w:val="-4"/>
          <w:sz w:val="24"/>
          <w:szCs w:val="24"/>
          <w:lang w:val="el-GR"/>
        </w:rPr>
      </w:pPr>
      <w:r w:rsidRPr="00F660B0">
        <w:rPr>
          <w:rFonts w:cstheme="minorHAnsi"/>
          <w:color w:val="000000"/>
          <w:spacing w:val="-4"/>
          <w:sz w:val="24"/>
          <w:szCs w:val="24"/>
          <w:lang w:val="el-GR"/>
        </w:rPr>
        <w:t xml:space="preserve">Χρηματικό πρόστιμο μέχρι 30% της κρατικής χορηγίας που παραχωρείται από τον ΚΟΑ στην Αθλητική Ομοσπονδία </w:t>
      </w:r>
    </w:p>
    <w:p w14:paraId="78715265" w14:textId="77777777" w:rsidR="00F660B0" w:rsidRPr="00F660B0" w:rsidRDefault="00F660B0" w:rsidP="00F660B0">
      <w:pPr>
        <w:pStyle w:val="ListParagraph"/>
        <w:widowControl w:val="0"/>
        <w:numPr>
          <w:ilvl w:val="0"/>
          <w:numId w:val="3"/>
        </w:numPr>
        <w:shd w:val="clear" w:color="auto" w:fill="FFFFFF"/>
        <w:tabs>
          <w:tab w:val="left" w:pos="439"/>
        </w:tabs>
        <w:autoSpaceDE w:val="0"/>
        <w:autoSpaceDN w:val="0"/>
        <w:adjustRightInd w:val="0"/>
        <w:spacing w:line="276" w:lineRule="auto"/>
        <w:ind w:left="0" w:firstLine="0"/>
        <w:jc w:val="both"/>
        <w:rPr>
          <w:rFonts w:cstheme="minorHAnsi"/>
          <w:color w:val="000000"/>
          <w:spacing w:val="-15"/>
          <w:sz w:val="24"/>
          <w:szCs w:val="24"/>
          <w:lang w:val="el-GR"/>
        </w:rPr>
      </w:pPr>
      <w:r w:rsidRPr="00F660B0">
        <w:rPr>
          <w:rFonts w:cstheme="minorHAnsi"/>
          <w:color w:val="000000"/>
          <w:sz w:val="24"/>
          <w:szCs w:val="24"/>
          <w:lang w:val="el-GR"/>
        </w:rPr>
        <w:t>Αποκλεισμό μέχρι και δύο χρόνων από τους αθλητικούς χώρους του ΚΟΑ στην Ομοσπονδία &amp; Σωματείο των οποίων οι αθλητές/τριες τους δεν έχουν Δελτίο Υγείας σε ισχύ.</w:t>
      </w:r>
    </w:p>
    <w:p w14:paraId="2E72E793" w14:textId="77777777" w:rsidR="00F660B0" w:rsidRPr="00F660B0" w:rsidRDefault="00F660B0" w:rsidP="00F660B0">
      <w:pPr>
        <w:pStyle w:val="ListParagraph"/>
        <w:widowControl w:val="0"/>
        <w:numPr>
          <w:ilvl w:val="0"/>
          <w:numId w:val="3"/>
        </w:numPr>
        <w:shd w:val="clear" w:color="auto" w:fill="FFFFFF"/>
        <w:tabs>
          <w:tab w:val="left" w:pos="439"/>
        </w:tabs>
        <w:autoSpaceDE w:val="0"/>
        <w:autoSpaceDN w:val="0"/>
        <w:adjustRightInd w:val="0"/>
        <w:spacing w:line="276" w:lineRule="auto"/>
        <w:ind w:left="0" w:firstLine="0"/>
        <w:jc w:val="both"/>
        <w:rPr>
          <w:rFonts w:cstheme="minorHAnsi"/>
          <w:color w:val="000000"/>
          <w:spacing w:val="-15"/>
          <w:sz w:val="24"/>
          <w:szCs w:val="24"/>
          <w:lang w:val="el-GR"/>
        </w:rPr>
      </w:pPr>
      <w:r w:rsidRPr="00F660B0">
        <w:rPr>
          <w:rFonts w:cstheme="minorHAnsi"/>
          <w:color w:val="000000"/>
          <w:sz w:val="24"/>
          <w:szCs w:val="24"/>
          <w:lang w:val="el-GR"/>
        </w:rPr>
        <w:t>Προσφυγή στην ΑΔΕΑ για μη συμμόρφωση με απόφαση/οδηγία/εγκύκλιο του Οργανισμού.</w:t>
      </w:r>
    </w:p>
    <w:p w14:paraId="092AC80D" w14:textId="77777777" w:rsidR="00F660B0" w:rsidRPr="00F660B0" w:rsidRDefault="00F660B0" w:rsidP="00F660B0">
      <w:pPr>
        <w:overflowPunct w:val="0"/>
        <w:autoSpaceDE w:val="0"/>
        <w:autoSpaceDN w:val="0"/>
        <w:jc w:val="both"/>
        <w:rPr>
          <w:rFonts w:cstheme="minorHAnsi"/>
          <w:color w:val="000000"/>
          <w:sz w:val="24"/>
          <w:szCs w:val="24"/>
          <w:bdr w:val="none" w:sz="0" w:space="0" w:color="auto" w:frame="1"/>
          <w:shd w:val="clear" w:color="auto" w:fill="FFFFFF"/>
          <w:lang w:val="el-GR"/>
        </w:rPr>
      </w:pPr>
    </w:p>
    <w:p w14:paraId="49493F70" w14:textId="77777777" w:rsidR="00F660B0" w:rsidRPr="00F660B0" w:rsidRDefault="00F660B0" w:rsidP="00F660B0">
      <w:pPr>
        <w:overflowPunct w:val="0"/>
        <w:autoSpaceDE w:val="0"/>
        <w:autoSpaceDN w:val="0"/>
        <w:jc w:val="both"/>
        <w:rPr>
          <w:rFonts w:cstheme="minorHAnsi"/>
          <w:b/>
          <w:bCs/>
          <w:color w:val="000000"/>
          <w:sz w:val="24"/>
          <w:szCs w:val="24"/>
          <w:bdr w:val="none" w:sz="0" w:space="0" w:color="auto" w:frame="1"/>
          <w:shd w:val="clear" w:color="auto" w:fill="FFFFFF"/>
          <w:lang w:val="el-GR"/>
        </w:rPr>
      </w:pPr>
      <w:r w:rsidRPr="00F660B0">
        <w:rPr>
          <w:rFonts w:cstheme="minorHAnsi"/>
          <w:b/>
          <w:bCs/>
          <w:color w:val="000000"/>
          <w:sz w:val="24"/>
          <w:szCs w:val="24"/>
          <w:bdr w:val="none" w:sz="0" w:space="0" w:color="auto" w:frame="1"/>
          <w:shd w:val="clear" w:color="auto" w:fill="FFFFFF"/>
          <w:lang w:val="el-GR"/>
        </w:rPr>
        <w:t xml:space="preserve">4. ΠΑΡΑΡΤΗΜΑΤΑ </w:t>
      </w:r>
    </w:p>
    <w:p w14:paraId="1A1385AE" w14:textId="77777777" w:rsidR="00F660B0" w:rsidRPr="00F660B0" w:rsidRDefault="00F660B0" w:rsidP="00F660B0">
      <w:pPr>
        <w:overflowPunct w:val="0"/>
        <w:autoSpaceDE w:val="0"/>
        <w:autoSpaceDN w:val="0"/>
        <w:jc w:val="both"/>
        <w:rPr>
          <w:rFonts w:cstheme="minorHAnsi"/>
          <w:color w:val="000000"/>
          <w:sz w:val="24"/>
          <w:szCs w:val="24"/>
          <w:bdr w:val="none" w:sz="0" w:space="0" w:color="auto" w:frame="1"/>
          <w:shd w:val="clear" w:color="auto" w:fill="FFFFFF"/>
          <w:lang w:val="el-GR"/>
        </w:rPr>
      </w:pPr>
      <w:r w:rsidRPr="00F660B0">
        <w:rPr>
          <w:rFonts w:cstheme="minorHAnsi"/>
          <w:color w:val="000000"/>
          <w:sz w:val="24"/>
          <w:szCs w:val="24"/>
          <w:bdr w:val="none" w:sz="0" w:space="0" w:color="auto" w:frame="1"/>
          <w:shd w:val="clear" w:color="auto" w:fill="FFFFFF"/>
          <w:lang w:val="el-GR"/>
        </w:rPr>
        <w:t xml:space="preserve">Ι. Έντυπό «Ιατρική Εξέταση για Έκδοσή Δελτίου Υγείας» </w:t>
      </w:r>
    </w:p>
    <w:p w14:paraId="79FC1D74" w14:textId="77777777" w:rsidR="00F660B0" w:rsidRPr="00F660B0" w:rsidRDefault="00F660B0" w:rsidP="00F660B0">
      <w:pPr>
        <w:overflowPunct w:val="0"/>
        <w:autoSpaceDE w:val="0"/>
        <w:autoSpaceDN w:val="0"/>
        <w:jc w:val="both"/>
        <w:rPr>
          <w:rFonts w:cstheme="minorHAnsi"/>
          <w:color w:val="000000"/>
          <w:sz w:val="24"/>
          <w:szCs w:val="24"/>
          <w:bdr w:val="none" w:sz="0" w:space="0" w:color="auto" w:frame="1"/>
          <w:shd w:val="clear" w:color="auto" w:fill="FFFFFF"/>
          <w:lang w:val="el-GR"/>
        </w:rPr>
      </w:pPr>
      <w:r w:rsidRPr="00F660B0">
        <w:rPr>
          <w:rFonts w:cstheme="minorHAnsi"/>
          <w:color w:val="000000"/>
          <w:sz w:val="24"/>
          <w:szCs w:val="24"/>
          <w:bdr w:val="none" w:sz="0" w:space="0" w:color="auto" w:frame="1"/>
          <w:shd w:val="clear" w:color="auto" w:fill="FFFFFF"/>
          <w:lang w:val="el-GR"/>
        </w:rPr>
        <w:t>ΙΙ. Πίνακας Ιατρικών και Παρακλινικών Εξετάσεων</w:t>
      </w:r>
    </w:p>
    <w:p w14:paraId="5802E2A6" w14:textId="77777777" w:rsidR="00F660B0" w:rsidRPr="00F660B0" w:rsidRDefault="00F660B0" w:rsidP="00F660B0">
      <w:pPr>
        <w:overflowPunct w:val="0"/>
        <w:autoSpaceDE w:val="0"/>
        <w:autoSpaceDN w:val="0"/>
        <w:jc w:val="both"/>
        <w:rPr>
          <w:rFonts w:cstheme="minorHAnsi"/>
          <w:color w:val="000000"/>
          <w:sz w:val="24"/>
          <w:szCs w:val="24"/>
          <w:bdr w:val="none" w:sz="0" w:space="0" w:color="auto" w:frame="1"/>
          <w:shd w:val="clear" w:color="auto" w:fill="FFFFFF"/>
          <w:lang w:val="el-GR"/>
        </w:rPr>
      </w:pPr>
      <w:r w:rsidRPr="00F660B0">
        <w:rPr>
          <w:rFonts w:cstheme="minorHAnsi"/>
          <w:color w:val="000000"/>
          <w:sz w:val="24"/>
          <w:szCs w:val="24"/>
          <w:bdr w:val="none" w:sz="0" w:space="0" w:color="auto" w:frame="1"/>
          <w:shd w:val="clear" w:color="auto" w:fill="FFFFFF"/>
          <w:lang w:val="el-GR"/>
        </w:rPr>
        <w:t>ΙΙΙ. Πίνακας Τέλη Έκδοσής Δελτίων Υγείας</w:t>
      </w:r>
    </w:p>
    <w:p w14:paraId="01BDEFB9" w14:textId="77777777" w:rsidR="00F660B0" w:rsidRPr="00F660B0" w:rsidRDefault="00F660B0" w:rsidP="00F660B0">
      <w:pPr>
        <w:rPr>
          <w:rFonts w:cstheme="minorHAnsi"/>
          <w:lang w:val="el-GR"/>
        </w:rPr>
      </w:pPr>
    </w:p>
    <w:p w14:paraId="6EA23185" w14:textId="77777777" w:rsidR="00F660B0" w:rsidRPr="00F660B0" w:rsidRDefault="00F660B0" w:rsidP="00F660B0">
      <w:pPr>
        <w:rPr>
          <w:rFonts w:cstheme="minorHAnsi"/>
          <w:bCs/>
          <w:lang w:val="el-GR"/>
        </w:rPr>
      </w:pPr>
      <w:r w:rsidRPr="00F660B0">
        <w:rPr>
          <w:rFonts w:cstheme="minorHAnsi"/>
          <w:bCs/>
          <w:lang w:val="el-GR"/>
        </w:rPr>
        <w:t xml:space="preserve">Οι Κανονισμοί Έκδοσης Δελτίων Υγείας επικαιροποιήθηκαν  στις 23 Αυγούστου 2022 </w:t>
      </w:r>
    </w:p>
    <w:p w14:paraId="5F52A6B0" w14:textId="77777777" w:rsidR="00F660B0" w:rsidRDefault="00F660B0" w:rsidP="00F660B0">
      <w:pPr>
        <w:pStyle w:val="NormalWeb"/>
        <w:shd w:val="clear" w:color="auto" w:fill="FFFFFF"/>
        <w:spacing w:after="0"/>
        <w:jc w:val="both"/>
        <w:rPr>
          <w:rFonts w:asciiTheme="minorHAnsi" w:hAnsiTheme="minorHAnsi" w:cstheme="minorHAnsi"/>
          <w:color w:val="333333"/>
        </w:rPr>
      </w:pPr>
    </w:p>
    <w:p w14:paraId="00D1A9F3" w14:textId="77777777" w:rsidR="00F660B0" w:rsidRPr="00F660B0" w:rsidRDefault="00F660B0" w:rsidP="00F660B0">
      <w:pPr>
        <w:rPr>
          <w:lang w:val="el-GR"/>
        </w:rPr>
      </w:pPr>
    </w:p>
    <w:p w14:paraId="5C9785CD" w14:textId="77777777" w:rsidR="00F660B0" w:rsidRPr="00F660B0" w:rsidRDefault="00F660B0">
      <w:pPr>
        <w:rPr>
          <w:lang w:val="el-GR"/>
        </w:rPr>
      </w:pPr>
    </w:p>
    <w:sectPr w:rsidR="00F660B0" w:rsidRPr="00F660B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45AA2"/>
    <w:multiLevelType w:val="hybridMultilevel"/>
    <w:tmpl w:val="67F8F1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CB44A16"/>
    <w:multiLevelType w:val="hybridMultilevel"/>
    <w:tmpl w:val="E2020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C839A2"/>
    <w:multiLevelType w:val="multilevel"/>
    <w:tmpl w:val="99A02F96"/>
    <w:lvl w:ilvl="0">
      <w:start w:val="1"/>
      <w:numFmt w:val="decimal"/>
      <w:lvlText w:val="%1."/>
      <w:lvlJc w:val="left"/>
      <w:pPr>
        <w:ind w:left="1004" w:hanging="360"/>
      </w:pPr>
    </w:lvl>
    <w:lvl w:ilvl="1">
      <w:start w:val="1"/>
      <w:numFmt w:val="decimal"/>
      <w:isLgl/>
      <w:lvlText w:val="%1.%2"/>
      <w:lvlJc w:val="left"/>
      <w:pPr>
        <w:ind w:left="1154" w:hanging="420"/>
      </w:pPr>
      <w:rPr>
        <w:rFonts w:hint="default"/>
      </w:rPr>
    </w:lvl>
    <w:lvl w:ilvl="2">
      <w:start w:val="1"/>
      <w:numFmt w:val="decimal"/>
      <w:isLgl/>
      <w:lvlText w:val="%1.%2.%3"/>
      <w:lvlJc w:val="left"/>
      <w:pPr>
        <w:ind w:left="1544" w:hanging="720"/>
      </w:pPr>
      <w:rPr>
        <w:rFonts w:hint="default"/>
      </w:rPr>
    </w:lvl>
    <w:lvl w:ilvl="3">
      <w:start w:val="1"/>
      <w:numFmt w:val="decimal"/>
      <w:isLgl/>
      <w:lvlText w:val="%1.%2.%3.%4"/>
      <w:lvlJc w:val="left"/>
      <w:pPr>
        <w:ind w:left="1634"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174" w:hanging="1080"/>
      </w:pPr>
      <w:rPr>
        <w:rFonts w:hint="default"/>
      </w:rPr>
    </w:lvl>
    <w:lvl w:ilvl="6">
      <w:start w:val="1"/>
      <w:numFmt w:val="decimal"/>
      <w:isLgl/>
      <w:lvlText w:val="%1.%2.%3.%4.%5.%6.%7"/>
      <w:lvlJc w:val="left"/>
      <w:pPr>
        <w:ind w:left="2624" w:hanging="1440"/>
      </w:pPr>
      <w:rPr>
        <w:rFonts w:hint="default"/>
      </w:rPr>
    </w:lvl>
    <w:lvl w:ilvl="7">
      <w:start w:val="1"/>
      <w:numFmt w:val="decimal"/>
      <w:isLgl/>
      <w:lvlText w:val="%1.%2.%3.%4.%5.%6.%7.%8"/>
      <w:lvlJc w:val="left"/>
      <w:pPr>
        <w:ind w:left="2714" w:hanging="1440"/>
      </w:pPr>
      <w:rPr>
        <w:rFonts w:hint="default"/>
      </w:rPr>
    </w:lvl>
    <w:lvl w:ilvl="8">
      <w:start w:val="1"/>
      <w:numFmt w:val="decimal"/>
      <w:isLgl/>
      <w:lvlText w:val="%1.%2.%3.%4.%5.%6.%7.%8.%9"/>
      <w:lvlJc w:val="left"/>
      <w:pPr>
        <w:ind w:left="2804" w:hanging="1440"/>
      </w:pPr>
      <w:rPr>
        <w:rFonts w:hint="default"/>
      </w:rPr>
    </w:lvl>
  </w:abstractNum>
  <w:num w:numId="1" w16cid:durableId="773552305">
    <w:abstractNumId w:val="2"/>
  </w:num>
  <w:num w:numId="2" w16cid:durableId="1437402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7794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0B0"/>
    <w:rsid w:val="000D4044"/>
    <w:rsid w:val="002341AF"/>
    <w:rsid w:val="00573ECF"/>
    <w:rsid w:val="00F66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644E"/>
  <w15:chartTrackingRefBased/>
  <w15:docId w15:val="{D3C2B019-3FF0-4051-BCAB-B17A3B55D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60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660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660B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660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660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660B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60B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60B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60B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60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660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660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660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660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660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60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60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60B0"/>
    <w:rPr>
      <w:rFonts w:eastAsiaTheme="majorEastAsia" w:cstheme="majorBidi"/>
      <w:color w:val="272727" w:themeColor="text1" w:themeTint="D8"/>
    </w:rPr>
  </w:style>
  <w:style w:type="paragraph" w:styleId="Title">
    <w:name w:val="Title"/>
    <w:basedOn w:val="Normal"/>
    <w:next w:val="Normal"/>
    <w:link w:val="TitleChar"/>
    <w:uiPriority w:val="10"/>
    <w:qFormat/>
    <w:rsid w:val="00F660B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60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60B0"/>
    <w:pPr>
      <w:numPr>
        <w:ilvl w:val="1"/>
      </w:numPr>
      <w:spacing w:after="160"/>
      <w:ind w:left="284"/>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60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60B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660B0"/>
    <w:rPr>
      <w:i/>
      <w:iCs/>
      <w:color w:val="404040" w:themeColor="text1" w:themeTint="BF"/>
    </w:rPr>
  </w:style>
  <w:style w:type="paragraph" w:styleId="ListParagraph">
    <w:name w:val="List Paragraph"/>
    <w:basedOn w:val="Normal"/>
    <w:uiPriority w:val="34"/>
    <w:qFormat/>
    <w:rsid w:val="00F660B0"/>
    <w:pPr>
      <w:ind w:left="720"/>
      <w:contextualSpacing/>
    </w:pPr>
  </w:style>
  <w:style w:type="character" w:styleId="IntenseEmphasis">
    <w:name w:val="Intense Emphasis"/>
    <w:basedOn w:val="DefaultParagraphFont"/>
    <w:uiPriority w:val="21"/>
    <w:qFormat/>
    <w:rsid w:val="00F660B0"/>
    <w:rPr>
      <w:i/>
      <w:iCs/>
      <w:color w:val="2F5496" w:themeColor="accent1" w:themeShade="BF"/>
    </w:rPr>
  </w:style>
  <w:style w:type="paragraph" w:styleId="IntenseQuote">
    <w:name w:val="Intense Quote"/>
    <w:basedOn w:val="Normal"/>
    <w:next w:val="Normal"/>
    <w:link w:val="IntenseQuoteChar"/>
    <w:uiPriority w:val="30"/>
    <w:qFormat/>
    <w:rsid w:val="00F660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660B0"/>
    <w:rPr>
      <w:i/>
      <w:iCs/>
      <w:color w:val="2F5496" w:themeColor="accent1" w:themeShade="BF"/>
    </w:rPr>
  </w:style>
  <w:style w:type="character" w:styleId="IntenseReference">
    <w:name w:val="Intense Reference"/>
    <w:basedOn w:val="DefaultParagraphFont"/>
    <w:uiPriority w:val="32"/>
    <w:qFormat/>
    <w:rsid w:val="00F660B0"/>
    <w:rPr>
      <w:b/>
      <w:bCs/>
      <w:smallCaps/>
      <w:color w:val="2F5496" w:themeColor="accent1" w:themeShade="BF"/>
      <w:spacing w:val="5"/>
    </w:rPr>
  </w:style>
  <w:style w:type="paragraph" w:styleId="NormalWeb">
    <w:name w:val="Normal (Web)"/>
    <w:basedOn w:val="Normal"/>
    <w:uiPriority w:val="99"/>
    <w:unhideWhenUsed/>
    <w:rsid w:val="00F660B0"/>
    <w:pPr>
      <w:spacing w:after="163"/>
      <w:ind w:left="0"/>
    </w:pPr>
    <w:rPr>
      <w:rFonts w:ascii="Times New Roman" w:eastAsia="Times New Roman" w:hAnsi="Times New Roman" w:cs="Times New Roman"/>
      <w:kern w:val="0"/>
      <w:sz w:val="24"/>
      <w:szCs w:val="24"/>
      <w:lang w:val="el-GR" w:eastAsia="el-GR"/>
      <w14:ligatures w14:val="none"/>
    </w:rPr>
  </w:style>
  <w:style w:type="paragraph" w:customStyle="1" w:styleId="indent2">
    <w:name w:val="indent2"/>
    <w:basedOn w:val="Normal"/>
    <w:rsid w:val="00F660B0"/>
    <w:pPr>
      <w:spacing w:before="100" w:beforeAutospacing="1" w:after="100" w:afterAutospacing="1"/>
      <w:ind w:left="0"/>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1223</Words>
  <Characters>6973</Characters>
  <Application>Microsoft Office Word</Application>
  <DocSecurity>0</DocSecurity>
  <Lines>58</Lines>
  <Paragraphs>16</Paragraphs>
  <ScaleCrop>false</ScaleCrop>
  <Company/>
  <LinksUpToDate>false</LinksUpToDate>
  <CharactersWithSpaces>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Charalambous</dc:creator>
  <cp:keywords/>
  <dc:description/>
  <cp:lastModifiedBy>Marianna Charalambous</cp:lastModifiedBy>
  <cp:revision>1</cp:revision>
  <dcterms:created xsi:type="dcterms:W3CDTF">2025-03-06T07:09:00Z</dcterms:created>
  <dcterms:modified xsi:type="dcterms:W3CDTF">2025-03-06T07:12:00Z</dcterms:modified>
</cp:coreProperties>
</file>