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D5" w:rsidRDefault="002B0CD5" w:rsidP="0044472A">
      <w:pPr>
        <w:spacing w:after="0"/>
        <w:rPr>
          <w:sz w:val="72"/>
          <w:szCs w:val="72"/>
        </w:rPr>
      </w:pPr>
    </w:p>
    <w:p w:rsidR="002B0CD5" w:rsidRPr="002B0CD5" w:rsidRDefault="002B0CD5" w:rsidP="002B0CD5">
      <w:pPr>
        <w:spacing w:after="0"/>
        <w:jc w:val="center"/>
        <w:rPr>
          <w:sz w:val="96"/>
          <w:szCs w:val="96"/>
        </w:rPr>
      </w:pPr>
      <w:r w:rsidRPr="002B0CD5">
        <w:rPr>
          <w:sz w:val="96"/>
          <w:szCs w:val="96"/>
        </w:rPr>
        <w:t>ΕΤΗΣΙΑ ΕΚΘΕΣΗ 20…</w:t>
      </w:r>
    </w:p>
    <w:p w:rsidR="002B0CD5" w:rsidRDefault="002B0CD5" w:rsidP="0044472A">
      <w:pPr>
        <w:spacing w:after="0"/>
        <w:rPr>
          <w:sz w:val="72"/>
          <w:szCs w:val="72"/>
        </w:rPr>
      </w:pPr>
    </w:p>
    <w:p w:rsidR="002B0CD5" w:rsidRDefault="002B0CD5" w:rsidP="0044472A">
      <w:pPr>
        <w:spacing w:after="0"/>
        <w:rPr>
          <w:sz w:val="72"/>
          <w:szCs w:val="72"/>
        </w:rPr>
      </w:pPr>
    </w:p>
    <w:p w:rsidR="002B0CD5" w:rsidRDefault="002B0CD5" w:rsidP="0044472A">
      <w:pPr>
        <w:spacing w:after="0"/>
        <w:rPr>
          <w:sz w:val="72"/>
          <w:szCs w:val="72"/>
        </w:rPr>
      </w:pPr>
    </w:p>
    <w:p w:rsidR="002B0CD5" w:rsidRDefault="002B0CD5" w:rsidP="0044472A">
      <w:pPr>
        <w:spacing w:after="0"/>
        <w:rPr>
          <w:sz w:val="72"/>
          <w:szCs w:val="72"/>
        </w:rPr>
      </w:pPr>
    </w:p>
    <w:p w:rsidR="00E666F3" w:rsidRDefault="00E666F3" w:rsidP="0044472A">
      <w:pPr>
        <w:spacing w:after="0"/>
        <w:rPr>
          <w:sz w:val="72"/>
          <w:szCs w:val="72"/>
        </w:rPr>
      </w:pPr>
    </w:p>
    <w:p w:rsidR="0044472A" w:rsidRPr="002B0CD5" w:rsidRDefault="002B0CD5" w:rsidP="0044472A">
      <w:pPr>
        <w:spacing w:after="0"/>
        <w:rPr>
          <w:i/>
          <w:iCs/>
          <w:sz w:val="72"/>
          <w:szCs w:val="72"/>
        </w:rPr>
      </w:pPr>
      <w:r w:rsidRPr="002B0CD5">
        <w:rPr>
          <w:i/>
          <w:iCs/>
          <w:sz w:val="72"/>
          <w:szCs w:val="72"/>
        </w:rPr>
        <w:t>*</w:t>
      </w:r>
      <w:r w:rsidR="00D3010A">
        <w:rPr>
          <w:i/>
          <w:iCs/>
          <w:sz w:val="72"/>
          <w:szCs w:val="72"/>
        </w:rPr>
        <w:t>ΟΝΟΜΑ</w:t>
      </w:r>
      <w:r w:rsidR="0044472A" w:rsidRPr="002B0CD5">
        <w:rPr>
          <w:i/>
          <w:iCs/>
          <w:sz w:val="72"/>
          <w:szCs w:val="72"/>
        </w:rPr>
        <w:t xml:space="preserve"> </w:t>
      </w:r>
    </w:p>
    <w:p w:rsidR="002B0CD5" w:rsidRPr="0095335F" w:rsidRDefault="0044472A" w:rsidP="0044472A">
      <w:pPr>
        <w:spacing w:after="0"/>
        <w:rPr>
          <w:i/>
          <w:iCs/>
          <w:sz w:val="72"/>
          <w:szCs w:val="72"/>
        </w:rPr>
      </w:pPr>
      <w:r w:rsidRPr="002B0CD5">
        <w:rPr>
          <w:i/>
          <w:iCs/>
          <w:sz w:val="72"/>
          <w:szCs w:val="72"/>
        </w:rPr>
        <w:t>ΟΜΟΣΠΟΝΔΙΑΣ</w:t>
      </w:r>
      <w:r w:rsidR="002B0CD5" w:rsidRPr="0095335F">
        <w:rPr>
          <w:i/>
          <w:iCs/>
          <w:sz w:val="72"/>
          <w:szCs w:val="72"/>
        </w:rPr>
        <w:t>*</w:t>
      </w:r>
    </w:p>
    <w:p w:rsidR="00876F38" w:rsidRPr="0095335F" w:rsidRDefault="00876F38">
      <w:pPr>
        <w:rPr>
          <w:i/>
          <w:iCs/>
          <w:sz w:val="40"/>
          <w:szCs w:val="40"/>
        </w:rPr>
      </w:pPr>
    </w:p>
    <w:p w:rsidR="00876F38" w:rsidRPr="0095335F" w:rsidRDefault="00876F38">
      <w:pPr>
        <w:rPr>
          <w:i/>
          <w:iCs/>
          <w:sz w:val="40"/>
          <w:szCs w:val="40"/>
        </w:rPr>
      </w:pPr>
    </w:p>
    <w:p w:rsidR="006214AC" w:rsidRPr="0095335F" w:rsidRDefault="006214AC">
      <w:pPr>
        <w:rPr>
          <w:i/>
          <w:iCs/>
          <w:sz w:val="40"/>
          <w:szCs w:val="40"/>
        </w:rPr>
      </w:pPr>
    </w:p>
    <w:p w:rsidR="006214AC" w:rsidRPr="0095335F" w:rsidRDefault="006214AC">
      <w:pPr>
        <w:rPr>
          <w:i/>
          <w:iCs/>
          <w:sz w:val="40"/>
          <w:szCs w:val="40"/>
        </w:rPr>
      </w:pPr>
    </w:p>
    <w:p w:rsidR="00B627F3" w:rsidRPr="0095335F" w:rsidRDefault="00876F38" w:rsidP="00876F38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*Ημερομηνία*</w:t>
      </w:r>
      <w:r w:rsidR="002B0CD5" w:rsidRPr="0095335F">
        <w:rPr>
          <w:i/>
          <w:iCs/>
          <w:sz w:val="40"/>
          <w:szCs w:val="40"/>
        </w:rPr>
        <w:br w:type="page"/>
      </w:r>
    </w:p>
    <w:p w:rsidR="00876F38" w:rsidRPr="0095335F" w:rsidRDefault="00876F38">
      <w:pPr>
        <w:rPr>
          <w:i/>
          <w:iCs/>
          <w:sz w:val="40"/>
          <w:szCs w:val="40"/>
        </w:rPr>
        <w:sectPr w:rsidR="00876F38" w:rsidRPr="0095335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48"/>
          <w:szCs w:val="48"/>
          <w:lang w:eastAsia="en-US"/>
        </w:rPr>
        <w:id w:val="710694526"/>
        <w:docPartObj>
          <w:docPartGallery w:val="Table of Contents"/>
          <w:docPartUnique/>
        </w:docPartObj>
      </w:sdtPr>
      <w:sdtEndPr>
        <w:rPr>
          <w:bCs/>
          <w:sz w:val="22"/>
          <w:szCs w:val="22"/>
        </w:rPr>
      </w:sdtEndPr>
      <w:sdtContent>
        <w:p w:rsidR="005323F9" w:rsidRPr="00627813" w:rsidRDefault="005323F9" w:rsidP="00176CB8">
          <w:pPr>
            <w:pStyle w:val="TOCHeading"/>
            <w:numPr>
              <w:ilvl w:val="0"/>
              <w:numId w:val="0"/>
            </w:numPr>
            <w:ind w:left="357" w:hanging="357"/>
            <w:rPr>
              <w:sz w:val="48"/>
              <w:szCs w:val="48"/>
            </w:rPr>
          </w:pPr>
          <w:r w:rsidRPr="00627813">
            <w:rPr>
              <w:sz w:val="48"/>
              <w:szCs w:val="48"/>
            </w:rPr>
            <w:t>Πίνακας περιεχομένων</w:t>
          </w:r>
        </w:p>
        <w:p w:rsidR="0030607E" w:rsidRDefault="005323F9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060865" w:history="1">
            <w:r w:rsidR="0030607E" w:rsidRPr="008B0976">
              <w:rPr>
                <w:rStyle w:val="Hyperlink"/>
              </w:rPr>
              <w:t>1.</w:t>
            </w:r>
            <w:r w:rsidR="0030607E">
              <w:rPr>
                <w:rFonts w:cstheme="minorBidi"/>
                <w:sz w:val="22"/>
                <w:szCs w:val="22"/>
                <w:lang w:val="el-GR"/>
              </w:rPr>
              <w:tab/>
            </w:r>
            <w:r w:rsidR="0030607E" w:rsidRPr="008B0976">
              <w:rPr>
                <w:rStyle w:val="Hyperlink"/>
              </w:rPr>
              <w:t>ΔΙΟΙΚΗΤΙΚΟ ΣΥΜΒΟΥΛΙΟ</w:t>
            </w:r>
            <w:r w:rsidR="0030607E">
              <w:rPr>
                <w:webHidden/>
              </w:rPr>
              <w:tab/>
            </w:r>
            <w:r w:rsidR="0030607E">
              <w:rPr>
                <w:webHidden/>
              </w:rPr>
              <w:fldChar w:fldCharType="begin"/>
            </w:r>
            <w:r w:rsidR="0030607E">
              <w:rPr>
                <w:webHidden/>
              </w:rPr>
              <w:instrText xml:space="preserve"> PAGEREF _Toc533060865 \h </w:instrText>
            </w:r>
            <w:r w:rsidR="0030607E">
              <w:rPr>
                <w:webHidden/>
              </w:rPr>
            </w:r>
            <w:r w:rsidR="0030607E">
              <w:rPr>
                <w:webHidden/>
              </w:rPr>
              <w:fldChar w:fldCharType="separate"/>
            </w:r>
            <w:r w:rsidR="0030607E">
              <w:rPr>
                <w:webHidden/>
              </w:rPr>
              <w:t>3</w:t>
            </w:r>
            <w:r w:rsidR="0030607E"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66" w:history="1">
            <w:r w:rsidRPr="008B0976">
              <w:rPr>
                <w:rStyle w:val="Hyperlink"/>
              </w:rPr>
              <w:t>1.1.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Αποζημιώσεις μελών Δ.Σ.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hyperlink w:anchor="_Toc533060867" w:history="1">
            <w:r w:rsidRPr="008B0976">
              <w:rPr>
                <w:rStyle w:val="Hyperlink"/>
              </w:rPr>
              <w:t>2.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8B0976">
              <w:rPr>
                <w:rStyle w:val="Hyperlink"/>
              </w:rPr>
              <w:t>ΛΟΓΟΔΟΣΙΑ ΠΡΟΕΔΡΟΥ ΟΜΟΣΠΟΝΔΙΑΣ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68" w:history="1">
            <w:r w:rsidRPr="008B0976">
              <w:rPr>
                <w:rStyle w:val="Hyperlink"/>
              </w:rPr>
              <w:t>2.1.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Εισαγωγή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69" w:history="1">
            <w:r w:rsidRPr="008B0976">
              <w:rPr>
                <w:rStyle w:val="Hyperlink"/>
              </w:rPr>
              <w:t>2.2.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Αγωνιστική Δραστηριότητα 20.. (Πρωταθλήματα και Διοργανώσεις)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0" w:history="1">
            <w:r w:rsidRPr="008B0976">
              <w:rPr>
                <w:rStyle w:val="Hyperlink"/>
              </w:rPr>
              <w:t>2.3.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Εκπαίδευση και Επιμόρφωση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1" w:history="1">
            <w:r w:rsidRPr="008B0976">
              <w:rPr>
                <w:rStyle w:val="Hyperlink"/>
              </w:rPr>
              <w:t>2.4.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Κοινωνική Ευθύνη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2" w:history="1">
            <w:r w:rsidRPr="008B0976">
              <w:rPr>
                <w:rStyle w:val="Hyperlink"/>
              </w:rPr>
              <w:t>2.5.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Άλλες Δραστηριότητες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3" w:history="1">
            <w:r w:rsidRPr="008B0976">
              <w:rPr>
                <w:rStyle w:val="Hyperlink"/>
              </w:rPr>
              <w:t>2.6.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Εσωτερικές και Διεθνείς Σχέσεις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4" w:history="1">
            <w:r w:rsidRPr="008B0976">
              <w:rPr>
                <w:rStyle w:val="Hyperlink"/>
              </w:rPr>
              <w:t>2.7.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Οικονομική Ενίσχυση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2"/>
            <w:tabs>
              <w:tab w:val="left" w:pos="880"/>
            </w:tabs>
            <w:rPr>
              <w:rFonts w:cstheme="minorBidi"/>
              <w:sz w:val="22"/>
              <w:szCs w:val="22"/>
            </w:rPr>
          </w:pPr>
          <w:hyperlink w:anchor="_Toc533060875" w:history="1">
            <w:r w:rsidRPr="008B0976">
              <w:rPr>
                <w:rStyle w:val="Hyperlink"/>
              </w:rPr>
              <w:t>2.8.</w:t>
            </w:r>
            <w:r>
              <w:rPr>
                <w:rFonts w:cstheme="minorBidi"/>
                <w:sz w:val="22"/>
                <w:szCs w:val="22"/>
              </w:rPr>
              <w:tab/>
            </w:r>
            <w:r w:rsidRPr="008B0976">
              <w:rPr>
                <w:rStyle w:val="Hyperlink"/>
              </w:rPr>
              <w:t>Εφαρμογή Κώδικα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hyperlink w:anchor="_Toc533060876" w:history="1">
            <w:r w:rsidRPr="008B0976">
              <w:rPr>
                <w:rStyle w:val="Hyperlink"/>
              </w:rPr>
              <w:t>3.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8B0976">
              <w:rPr>
                <w:rStyle w:val="Hyperlink"/>
              </w:rPr>
              <w:t>ΗΜΕΡΟΛΟΓΙΟ ΔΡΑΣΤΗΡΙΟΤΗΤΩΝ ΟΜΟΣΠΟΝΔΙΑΣ 20…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0607E" w:rsidRDefault="0030607E">
          <w:pPr>
            <w:pStyle w:val="TOC1"/>
            <w:rPr>
              <w:rFonts w:cstheme="minorBidi"/>
              <w:sz w:val="22"/>
              <w:szCs w:val="22"/>
              <w:lang w:val="el-GR"/>
            </w:rPr>
          </w:pPr>
          <w:hyperlink w:anchor="_Toc533060877" w:history="1">
            <w:r w:rsidRPr="008B0976">
              <w:rPr>
                <w:rStyle w:val="Hyperlink"/>
              </w:rPr>
              <w:t>4.</w:t>
            </w:r>
            <w:r>
              <w:rPr>
                <w:rFonts w:cstheme="minorBidi"/>
                <w:sz w:val="22"/>
                <w:szCs w:val="22"/>
                <w:lang w:val="el-GR"/>
              </w:rPr>
              <w:tab/>
            </w:r>
            <w:r w:rsidRPr="008B0976">
              <w:rPr>
                <w:rStyle w:val="Hyperlink"/>
              </w:rPr>
              <w:t>ΟΙΚΟΝΟΜΙΚΕΣ ΚΑΤΑΣΤΑΣΕΙΣ 20..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_Toc533060877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0607E" w:rsidRDefault="005323F9" w:rsidP="0030607E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8A6704" w:rsidRPr="0030607E" w:rsidRDefault="008A6704" w:rsidP="0030607E">
      <w:pPr>
        <w:rPr>
          <w:bCs/>
        </w:rPr>
      </w:pPr>
      <w:r w:rsidRPr="005323F9">
        <w:rPr>
          <w:lang w:val="en-GB"/>
        </w:rPr>
        <w:br w:type="page"/>
      </w:r>
    </w:p>
    <w:p w:rsidR="0068374D" w:rsidRPr="00B627F3" w:rsidRDefault="00876F38" w:rsidP="00B627F3">
      <w:pPr>
        <w:pStyle w:val="Heading1"/>
      </w:pPr>
      <w:bookmarkStart w:id="0" w:name="_Toc533060865"/>
      <w:r>
        <w:lastRenderedPageBreak/>
        <w:t>ΔΙΟΙΚΗΤΙΚΟ</w:t>
      </w:r>
      <w:r w:rsidR="005323F9" w:rsidRPr="00B627F3">
        <w:t xml:space="preserve"> ΣΥΜΒΟΥΛΙΟ</w:t>
      </w:r>
      <w:bookmarkEnd w:id="0"/>
    </w:p>
    <w:p w:rsidR="008A6704" w:rsidRPr="009F5833" w:rsidRDefault="00876F38" w:rsidP="0094253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* Να αναφερθεί η σύνθεση του Διοικητικού Συμβουλίου της Ομοσπονδίας *</w:t>
      </w:r>
    </w:p>
    <w:p w:rsidR="00D80A40" w:rsidRPr="00EB504F" w:rsidRDefault="00D80A40" w:rsidP="0094253D">
      <w:pPr>
        <w:jc w:val="both"/>
        <w:rPr>
          <w:sz w:val="24"/>
          <w:szCs w:val="24"/>
          <w:lang w:val="en-GB"/>
        </w:rPr>
      </w:pPr>
      <w:bookmarkStart w:id="1" w:name="_GoBack"/>
      <w:bookmarkEnd w:id="1"/>
    </w:p>
    <w:p w:rsidR="00D80A40" w:rsidRPr="006B2D10" w:rsidRDefault="00D80A40" w:rsidP="006B2D10">
      <w:pPr>
        <w:pStyle w:val="Heading2"/>
        <w:numPr>
          <w:ilvl w:val="0"/>
          <w:numId w:val="5"/>
        </w:numPr>
        <w:ind w:left="714" w:hanging="357"/>
      </w:pPr>
      <w:bookmarkStart w:id="2" w:name="_Toc533060866"/>
      <w:r w:rsidRPr="006B2D10">
        <w:t>Αποζημιώσεις μελών Δ.Σ.</w:t>
      </w:r>
      <w:bookmarkEnd w:id="2"/>
    </w:p>
    <w:p w:rsidR="005323F9" w:rsidRPr="00D80A40" w:rsidRDefault="00D80A40" w:rsidP="0094253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 Πληροφορίες σχετικά με τις αποζημιώσεις που λαμβάνουν τα μέλη του Δ.Σ. για τις εθελοντικές υπηρεσίες που παρέχουν, συμπεριλαμβανομένων τυχόν παροχών, με ανώνυμο ή συγκεντρωτικό τρόπο *</w:t>
      </w:r>
      <w:r w:rsidR="005323F9" w:rsidRPr="009F5833">
        <w:rPr>
          <w:sz w:val="24"/>
          <w:szCs w:val="24"/>
        </w:rPr>
        <w:br w:type="page"/>
      </w:r>
    </w:p>
    <w:p w:rsidR="008A6704" w:rsidRPr="00B627F3" w:rsidRDefault="005323F9" w:rsidP="00B627F3">
      <w:pPr>
        <w:pStyle w:val="Heading1"/>
      </w:pPr>
      <w:bookmarkStart w:id="3" w:name="_Toc533060867"/>
      <w:r w:rsidRPr="00B627F3">
        <w:lastRenderedPageBreak/>
        <w:t>ΛΟΓΟΔΟΣΙΑ ΠΡΟΕΔΡΟΥ ΟΜΟΣΠΟΝΔΙΑΣ</w:t>
      </w:r>
      <w:bookmarkEnd w:id="3"/>
    </w:p>
    <w:p w:rsidR="006B2D10" w:rsidRPr="009F5833" w:rsidRDefault="006B2D10" w:rsidP="006B2D10">
      <w:pPr>
        <w:jc w:val="both"/>
        <w:rPr>
          <w:sz w:val="24"/>
          <w:szCs w:val="24"/>
        </w:rPr>
      </w:pPr>
    </w:p>
    <w:p w:rsidR="005323F9" w:rsidRPr="005873DC" w:rsidRDefault="005323F9" w:rsidP="006B2D10">
      <w:pPr>
        <w:pStyle w:val="Heading2"/>
        <w:numPr>
          <w:ilvl w:val="0"/>
          <w:numId w:val="6"/>
        </w:numPr>
        <w:ind w:left="714" w:hanging="357"/>
      </w:pPr>
      <w:bookmarkStart w:id="4" w:name="_Toc533060868"/>
      <w:r w:rsidRPr="005873DC">
        <w:t>Εισαγωγή</w:t>
      </w:r>
      <w:bookmarkEnd w:id="4"/>
      <w:r w:rsidRPr="005873DC">
        <w:t xml:space="preserve"> </w:t>
      </w:r>
    </w:p>
    <w:p w:rsidR="005323F9" w:rsidRPr="00176CB8" w:rsidRDefault="00876F38" w:rsidP="0094253D">
      <w:pPr>
        <w:jc w:val="both"/>
        <w:rPr>
          <w:i/>
          <w:iCs/>
          <w:sz w:val="24"/>
          <w:szCs w:val="24"/>
        </w:rPr>
      </w:pPr>
      <w:r w:rsidRPr="00176CB8">
        <w:rPr>
          <w:i/>
          <w:iCs/>
          <w:sz w:val="24"/>
          <w:szCs w:val="24"/>
        </w:rPr>
        <w:t>* Κατά την εισαγωγή αποτυπώνονται τα κύρια γεγονότα που αφορούσαν την Ομοσπονδία κατά το έτος για το οποίο ετοιμάζεται η ετήσια έκθεση</w:t>
      </w:r>
      <w:r w:rsidR="00176CB8" w:rsidRPr="00176CB8">
        <w:rPr>
          <w:i/>
          <w:iCs/>
          <w:sz w:val="24"/>
          <w:szCs w:val="24"/>
        </w:rPr>
        <w:t xml:space="preserve"> *</w:t>
      </w:r>
    </w:p>
    <w:p w:rsidR="005323F9" w:rsidRPr="009F5833" w:rsidRDefault="005323F9" w:rsidP="0094253D">
      <w:pPr>
        <w:jc w:val="both"/>
        <w:rPr>
          <w:sz w:val="24"/>
          <w:szCs w:val="24"/>
        </w:rPr>
      </w:pPr>
    </w:p>
    <w:p w:rsidR="005323F9" w:rsidRPr="005873DC" w:rsidRDefault="005323F9" w:rsidP="006B2D10">
      <w:pPr>
        <w:pStyle w:val="Heading2"/>
        <w:numPr>
          <w:ilvl w:val="0"/>
          <w:numId w:val="6"/>
        </w:numPr>
        <w:ind w:left="714" w:hanging="357"/>
      </w:pPr>
      <w:bookmarkStart w:id="5" w:name="_Toc533060869"/>
      <w:r w:rsidRPr="005873DC">
        <w:t>Αγωνιστική Δραστηριότητα 20..</w:t>
      </w:r>
      <w:r w:rsidR="00D80A40" w:rsidRPr="00D80A40">
        <w:t xml:space="preserve"> (</w:t>
      </w:r>
      <w:r w:rsidR="00D80A40">
        <w:t>Πρωταθλήματα και Διοργανώσεις)</w:t>
      </w:r>
      <w:bookmarkEnd w:id="5"/>
    </w:p>
    <w:p w:rsidR="005323F9" w:rsidRPr="009F5833" w:rsidRDefault="00B93D67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>* Αποτύπωση της Αγωνιστικής Δραστηριότητας τη</w:t>
      </w:r>
      <w:r w:rsidR="00606734">
        <w:rPr>
          <w:sz w:val="24"/>
          <w:szCs w:val="24"/>
        </w:rPr>
        <w:t>ς</w:t>
      </w:r>
      <w:r>
        <w:rPr>
          <w:sz w:val="24"/>
          <w:szCs w:val="24"/>
        </w:rPr>
        <w:t xml:space="preserve"> Ομοσπονδίας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</w:p>
    <w:p w:rsidR="005323F9" w:rsidRPr="009F5833" w:rsidRDefault="005323F9" w:rsidP="0094253D">
      <w:pPr>
        <w:jc w:val="both"/>
        <w:rPr>
          <w:sz w:val="24"/>
          <w:szCs w:val="24"/>
        </w:rPr>
      </w:pPr>
    </w:p>
    <w:p w:rsidR="005323F9" w:rsidRPr="005873DC" w:rsidRDefault="005323F9" w:rsidP="006B2D10">
      <w:pPr>
        <w:pStyle w:val="Heading2"/>
        <w:numPr>
          <w:ilvl w:val="0"/>
          <w:numId w:val="6"/>
        </w:numPr>
        <w:ind w:left="714" w:hanging="357"/>
      </w:pPr>
      <w:bookmarkStart w:id="6" w:name="_Toc533060870"/>
      <w:r w:rsidRPr="005873DC">
        <w:t>Εκπαίδευση και Επιμόρφωση</w:t>
      </w:r>
      <w:bookmarkEnd w:id="6"/>
    </w:p>
    <w:p w:rsidR="00B93D67" w:rsidRPr="009F5833" w:rsidRDefault="00B93D67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Αποτύπωση των κύριων εκπαιδευτικών δραστηριοτήτων που έγιναν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</w:p>
    <w:p w:rsidR="005323F9" w:rsidRDefault="005323F9" w:rsidP="0094253D">
      <w:pPr>
        <w:jc w:val="both"/>
        <w:rPr>
          <w:sz w:val="24"/>
          <w:szCs w:val="24"/>
        </w:rPr>
      </w:pPr>
    </w:p>
    <w:p w:rsidR="003A53EA" w:rsidRPr="005873DC" w:rsidRDefault="003A53EA" w:rsidP="003A53EA">
      <w:pPr>
        <w:pStyle w:val="Heading2"/>
        <w:numPr>
          <w:ilvl w:val="0"/>
          <w:numId w:val="6"/>
        </w:numPr>
      </w:pPr>
      <w:bookmarkStart w:id="7" w:name="_Toc533060871"/>
      <w:r>
        <w:t>Κοινωνική Ευθύνη</w:t>
      </w:r>
      <w:bookmarkEnd w:id="7"/>
    </w:p>
    <w:p w:rsidR="003A53EA" w:rsidRPr="009F5833" w:rsidRDefault="003A53EA" w:rsidP="003A53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Αποτύπωση δραστηριοτήτων που αφορούν παροχή ευκαιριών σε άτομα με αναπηρίες και σε μειονότητες, καθώς και φιλανθρωπικές εκδηλώσεις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</w:p>
    <w:p w:rsidR="003A53EA" w:rsidRDefault="003A53EA" w:rsidP="0094253D">
      <w:pPr>
        <w:jc w:val="both"/>
        <w:rPr>
          <w:sz w:val="24"/>
          <w:szCs w:val="24"/>
        </w:rPr>
      </w:pPr>
    </w:p>
    <w:p w:rsidR="005323F9" w:rsidRPr="005873DC" w:rsidRDefault="005323F9" w:rsidP="003A53EA">
      <w:pPr>
        <w:pStyle w:val="Heading2"/>
        <w:numPr>
          <w:ilvl w:val="0"/>
          <w:numId w:val="6"/>
        </w:numPr>
      </w:pPr>
      <w:bookmarkStart w:id="8" w:name="_Toc533060872"/>
      <w:r w:rsidRPr="005873DC">
        <w:t>Άλλες Δραστηριότητες</w:t>
      </w:r>
      <w:bookmarkEnd w:id="8"/>
    </w:p>
    <w:p w:rsidR="00B93D67" w:rsidRPr="009F5833" w:rsidRDefault="00B93D67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Αποτύπωση οποιωνδήποτε Άλλων Δραστηριοτήτων, πέραν των αγωνιστικών, που έγιναν από την Ομοσπονδία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</w:p>
    <w:p w:rsidR="005323F9" w:rsidRPr="00627813" w:rsidRDefault="005323F9" w:rsidP="0094253D">
      <w:pPr>
        <w:jc w:val="both"/>
        <w:rPr>
          <w:sz w:val="24"/>
          <w:szCs w:val="24"/>
        </w:rPr>
      </w:pPr>
    </w:p>
    <w:p w:rsidR="005323F9" w:rsidRPr="005873DC" w:rsidRDefault="005323F9" w:rsidP="003A53EA">
      <w:pPr>
        <w:pStyle w:val="Heading2"/>
        <w:numPr>
          <w:ilvl w:val="0"/>
          <w:numId w:val="6"/>
        </w:numPr>
      </w:pPr>
      <w:bookmarkStart w:id="9" w:name="_Toc533060873"/>
      <w:r w:rsidRPr="005873DC">
        <w:t>Εσωτερικές και Διεθνείς Σχέσεις</w:t>
      </w:r>
      <w:bookmarkEnd w:id="9"/>
    </w:p>
    <w:p w:rsidR="00B93D67" w:rsidRPr="009F5833" w:rsidRDefault="00B93D67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Αποτύπωση των κύριων ενεργειών που έγιναν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</w:t>
      </w:r>
      <w:r>
        <w:rPr>
          <w:i/>
          <w:iCs/>
          <w:sz w:val="24"/>
          <w:szCs w:val="24"/>
        </w:rPr>
        <w:t xml:space="preserve"> και αφορούσαν άλλους εμπλεκόμενους αθλητικούς φορείς</w:t>
      </w:r>
      <w:r w:rsidR="002968D2">
        <w:rPr>
          <w:i/>
          <w:iCs/>
          <w:sz w:val="24"/>
          <w:szCs w:val="24"/>
        </w:rPr>
        <w:t xml:space="preserve"> στην Κύπρο και στο εξωτερικό</w:t>
      </w:r>
      <w:r w:rsidRPr="00176CB8">
        <w:rPr>
          <w:i/>
          <w:iCs/>
          <w:sz w:val="24"/>
          <w:szCs w:val="24"/>
        </w:rPr>
        <w:t xml:space="preserve"> *</w:t>
      </w:r>
    </w:p>
    <w:p w:rsidR="005323F9" w:rsidRPr="00627813" w:rsidRDefault="005323F9" w:rsidP="0094253D">
      <w:pPr>
        <w:jc w:val="both"/>
        <w:rPr>
          <w:sz w:val="24"/>
          <w:szCs w:val="24"/>
        </w:rPr>
      </w:pPr>
    </w:p>
    <w:p w:rsidR="005323F9" w:rsidRPr="005873DC" w:rsidRDefault="005323F9" w:rsidP="003A53EA">
      <w:pPr>
        <w:pStyle w:val="Heading2"/>
        <w:numPr>
          <w:ilvl w:val="0"/>
          <w:numId w:val="6"/>
        </w:numPr>
      </w:pPr>
      <w:bookmarkStart w:id="10" w:name="_Toc533060874"/>
      <w:r w:rsidRPr="005873DC">
        <w:lastRenderedPageBreak/>
        <w:t>Οικονομική Ενίσχυση</w:t>
      </w:r>
      <w:bookmarkEnd w:id="10"/>
    </w:p>
    <w:p w:rsidR="005323F9" w:rsidRPr="00627813" w:rsidRDefault="00433C41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Αναφορά των χορηγών της Ομοσπονδίας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</w:t>
      </w:r>
      <w:r>
        <w:rPr>
          <w:i/>
          <w:iCs/>
          <w:sz w:val="24"/>
          <w:szCs w:val="24"/>
        </w:rPr>
        <w:t xml:space="preserve"> *</w:t>
      </w:r>
    </w:p>
    <w:p w:rsidR="00D80A40" w:rsidRDefault="00D80A40" w:rsidP="0094253D">
      <w:pPr>
        <w:jc w:val="both"/>
      </w:pPr>
    </w:p>
    <w:p w:rsidR="00D80A40" w:rsidRPr="005873DC" w:rsidRDefault="00D80A40" w:rsidP="003A53EA">
      <w:pPr>
        <w:pStyle w:val="Heading2"/>
        <w:numPr>
          <w:ilvl w:val="0"/>
          <w:numId w:val="6"/>
        </w:numPr>
      </w:pPr>
      <w:bookmarkStart w:id="11" w:name="_Toc533060875"/>
      <w:r>
        <w:t>Εφαρμογή Κώδικα</w:t>
      </w:r>
      <w:bookmarkEnd w:id="11"/>
    </w:p>
    <w:p w:rsidR="0094253D" w:rsidRDefault="0094253D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>* Η Ετήσια Έκθεση παρέχει πληροφορίες σχετικά με τον τρόπο με τον τρόπο με τον οποίο η Ομοσπονδία εφαρμόζει τον παρόντα Κώδικα. Επιπλέον, αναλύει και καταγράφει τις περιπτώσεις στις οποίες επέλεξε να παρεκκλίνει από τον Κώδικα, τεκμηριώνοντας το λόγο σύμφωνα με την αρχή της «συμμόρφωσης ή εξυγίανσης»/ «αν όχι, γιατί όχι;». *</w:t>
      </w:r>
    </w:p>
    <w:p w:rsidR="005323F9" w:rsidRPr="00B627F3" w:rsidRDefault="005323F9" w:rsidP="0094253D">
      <w:pPr>
        <w:jc w:val="both"/>
      </w:pPr>
      <w:r w:rsidRPr="00B627F3">
        <w:br w:type="page"/>
      </w:r>
    </w:p>
    <w:p w:rsidR="005323F9" w:rsidRPr="00B627F3" w:rsidRDefault="005323F9" w:rsidP="00B627F3">
      <w:pPr>
        <w:pStyle w:val="Heading1"/>
      </w:pPr>
      <w:bookmarkStart w:id="12" w:name="_Toc533060876"/>
      <w:r w:rsidRPr="00B627F3">
        <w:lastRenderedPageBreak/>
        <w:t>ΗΜΕΡΟΛΟΓΙΟ ΔΡΑΣΤΗΡΙΟΤΗΤΩΝ ΟΜΟΣΠΟΝΔΙΑΣ 20…</w:t>
      </w:r>
      <w:bookmarkEnd w:id="12"/>
    </w:p>
    <w:p w:rsidR="005323F9" w:rsidRPr="008937B2" w:rsidRDefault="008937B2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Αποτύπωση όλων των Δραστηριοτήτων που διενεργήθηκαν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  <w:r w:rsidR="005323F9" w:rsidRPr="00B627F3">
        <w:br w:type="page"/>
      </w:r>
    </w:p>
    <w:p w:rsidR="005323F9" w:rsidRPr="00B627F3" w:rsidRDefault="005323F9" w:rsidP="00B627F3">
      <w:pPr>
        <w:pStyle w:val="Heading1"/>
      </w:pPr>
      <w:bookmarkStart w:id="13" w:name="_Toc533060877"/>
      <w:r w:rsidRPr="00B627F3">
        <w:lastRenderedPageBreak/>
        <w:t>ΟΙΚΟΝΟΜΙΚΕΣ ΚΑΤΑΣΤΑΣΕΙΣ 20..</w:t>
      </w:r>
      <w:bookmarkEnd w:id="13"/>
    </w:p>
    <w:p w:rsidR="00606734" w:rsidRPr="009F5833" w:rsidRDefault="00606734" w:rsidP="009425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Παρουσίαση των Οικονομικών Καταστάσεων της Ομοσπονδίας κατά </w:t>
      </w:r>
      <w:r w:rsidRPr="00176CB8">
        <w:rPr>
          <w:i/>
          <w:iCs/>
          <w:sz w:val="24"/>
          <w:szCs w:val="24"/>
        </w:rPr>
        <w:t>το έτος για το οποίο ετοιμάζεται η ετήσια έκθεση *</w:t>
      </w:r>
    </w:p>
    <w:p w:rsidR="005323F9" w:rsidRPr="00627813" w:rsidRDefault="005323F9" w:rsidP="0094253D">
      <w:pPr>
        <w:jc w:val="both"/>
        <w:rPr>
          <w:sz w:val="24"/>
          <w:szCs w:val="24"/>
        </w:rPr>
      </w:pPr>
    </w:p>
    <w:sectPr w:rsidR="005323F9" w:rsidRPr="00627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124" w:rsidRDefault="007D7124" w:rsidP="009E1F2B">
      <w:pPr>
        <w:spacing w:after="0" w:line="240" w:lineRule="auto"/>
      </w:pPr>
      <w:r>
        <w:separator/>
      </w:r>
    </w:p>
  </w:endnote>
  <w:endnote w:type="continuationSeparator" w:id="0">
    <w:p w:rsidR="007D7124" w:rsidRDefault="007D7124" w:rsidP="009E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124" w:rsidRDefault="007D7124" w:rsidP="009E1F2B">
      <w:pPr>
        <w:spacing w:after="0" w:line="240" w:lineRule="auto"/>
      </w:pPr>
      <w:r>
        <w:separator/>
      </w:r>
    </w:p>
  </w:footnote>
  <w:footnote w:type="continuationSeparator" w:id="0">
    <w:p w:rsidR="007D7124" w:rsidRDefault="007D7124" w:rsidP="009E1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285"/>
    <w:multiLevelType w:val="hybridMultilevel"/>
    <w:tmpl w:val="935E1324"/>
    <w:lvl w:ilvl="0" w:tplc="E88491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4E96"/>
    <w:multiLevelType w:val="hybridMultilevel"/>
    <w:tmpl w:val="565C78A6"/>
    <w:lvl w:ilvl="0" w:tplc="294EE5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5191"/>
    <w:multiLevelType w:val="hybridMultilevel"/>
    <w:tmpl w:val="C700E61E"/>
    <w:lvl w:ilvl="0" w:tplc="06927E2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36D39"/>
    <w:multiLevelType w:val="hybridMultilevel"/>
    <w:tmpl w:val="6630AC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459E"/>
    <w:multiLevelType w:val="hybridMultilevel"/>
    <w:tmpl w:val="810AC2BE"/>
    <w:lvl w:ilvl="0" w:tplc="3E2EBFD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430E"/>
    <w:multiLevelType w:val="hybridMultilevel"/>
    <w:tmpl w:val="E6562166"/>
    <w:lvl w:ilvl="0" w:tplc="294EE59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2A"/>
    <w:rsid w:val="001654F4"/>
    <w:rsid w:val="00176CB8"/>
    <w:rsid w:val="00187F1B"/>
    <w:rsid w:val="001E7D39"/>
    <w:rsid w:val="002968D2"/>
    <w:rsid w:val="002B0CD5"/>
    <w:rsid w:val="0030607E"/>
    <w:rsid w:val="00331BE3"/>
    <w:rsid w:val="003A53EA"/>
    <w:rsid w:val="003B5545"/>
    <w:rsid w:val="00426941"/>
    <w:rsid w:val="00433C41"/>
    <w:rsid w:val="0044472A"/>
    <w:rsid w:val="00466B72"/>
    <w:rsid w:val="005323F9"/>
    <w:rsid w:val="005873DC"/>
    <w:rsid w:val="005A4E2B"/>
    <w:rsid w:val="00606734"/>
    <w:rsid w:val="006214AC"/>
    <w:rsid w:val="00627813"/>
    <w:rsid w:val="0068374D"/>
    <w:rsid w:val="006B2D10"/>
    <w:rsid w:val="006E4824"/>
    <w:rsid w:val="007D05E1"/>
    <w:rsid w:val="007D7124"/>
    <w:rsid w:val="00876F38"/>
    <w:rsid w:val="008937B2"/>
    <w:rsid w:val="008A6704"/>
    <w:rsid w:val="009273A4"/>
    <w:rsid w:val="0094253D"/>
    <w:rsid w:val="0095335F"/>
    <w:rsid w:val="009E1F2B"/>
    <w:rsid w:val="009F5833"/>
    <w:rsid w:val="00A96BBB"/>
    <w:rsid w:val="00AE3DEB"/>
    <w:rsid w:val="00B627F3"/>
    <w:rsid w:val="00B93D67"/>
    <w:rsid w:val="00C53BA4"/>
    <w:rsid w:val="00D3010A"/>
    <w:rsid w:val="00D80A40"/>
    <w:rsid w:val="00E34301"/>
    <w:rsid w:val="00E666F3"/>
    <w:rsid w:val="00E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026F"/>
  <w15:chartTrackingRefBased/>
  <w15:docId w15:val="{4CF903D8-A1E4-45C9-A55C-5C240457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CB8"/>
    <w:pPr>
      <w:keepNext/>
      <w:keepLines/>
      <w:numPr>
        <w:numId w:val="2"/>
      </w:numPr>
      <w:spacing w:before="240" w:after="240"/>
      <w:ind w:left="357" w:hanging="357"/>
      <w:outlineLvl w:val="0"/>
    </w:pPr>
    <w:rPr>
      <w:rFonts w:ascii="Arial" w:eastAsiaTheme="majorEastAsia" w:hAnsi="Arial" w:cstheme="majorBidi"/>
      <w:b/>
      <w:color w:val="595959" w:themeColor="text1" w:themeTint="A6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D1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olor w:val="595959" w:themeColor="text1" w:themeTint="A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B8"/>
    <w:rPr>
      <w:rFonts w:ascii="Arial" w:eastAsiaTheme="majorEastAsia" w:hAnsi="Arial" w:cstheme="majorBidi"/>
      <w:b/>
      <w:color w:val="595959" w:themeColor="text1" w:themeTint="A6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A6704"/>
    <w:pPr>
      <w:outlineLvl w:val="9"/>
    </w:pPr>
    <w:rPr>
      <w:lang w:eastAsia="el-GR"/>
    </w:rPr>
  </w:style>
  <w:style w:type="paragraph" w:styleId="TOC2">
    <w:name w:val="toc 2"/>
    <w:basedOn w:val="Normal"/>
    <w:next w:val="Normal"/>
    <w:autoRedefine/>
    <w:uiPriority w:val="39"/>
    <w:unhideWhenUsed/>
    <w:rsid w:val="00627813"/>
    <w:pPr>
      <w:tabs>
        <w:tab w:val="right" w:leader="dot" w:pos="8296"/>
      </w:tabs>
      <w:spacing w:after="100"/>
      <w:ind w:left="220"/>
    </w:pPr>
    <w:rPr>
      <w:rFonts w:eastAsiaTheme="minorEastAsia" w:cs="Times New Roman"/>
      <w:noProof/>
      <w:sz w:val="28"/>
      <w:szCs w:val="28"/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627813"/>
    <w:pPr>
      <w:tabs>
        <w:tab w:val="left" w:pos="440"/>
        <w:tab w:val="right" w:leader="dot" w:pos="8296"/>
      </w:tabs>
      <w:spacing w:after="100"/>
    </w:pPr>
    <w:rPr>
      <w:rFonts w:eastAsiaTheme="minorEastAsia" w:cs="Times New Roman"/>
      <w:noProof/>
      <w:sz w:val="32"/>
      <w:szCs w:val="32"/>
      <w:lang w:val="en-GB" w:eastAsia="el-GR"/>
    </w:rPr>
  </w:style>
  <w:style w:type="paragraph" w:styleId="TOC3">
    <w:name w:val="toc 3"/>
    <w:basedOn w:val="Normal"/>
    <w:next w:val="Normal"/>
    <w:autoRedefine/>
    <w:uiPriority w:val="39"/>
    <w:unhideWhenUsed/>
    <w:rsid w:val="008A6704"/>
    <w:pPr>
      <w:spacing w:after="100"/>
      <w:ind w:left="440"/>
    </w:pPr>
    <w:rPr>
      <w:rFonts w:eastAsiaTheme="minorEastAsia" w:cs="Times New Roman"/>
      <w:lang w:eastAsia="el-GR"/>
    </w:rPr>
  </w:style>
  <w:style w:type="character" w:styleId="Hyperlink">
    <w:name w:val="Hyperlink"/>
    <w:basedOn w:val="DefaultParagraphFont"/>
    <w:uiPriority w:val="99"/>
    <w:unhideWhenUsed/>
    <w:rsid w:val="008A670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6F38"/>
    <w:rPr>
      <w:rFonts w:asciiTheme="majorHAnsi" w:eastAsiaTheme="majorEastAsia" w:hAnsiTheme="majorHAnsi" w:cstheme="majorBidi"/>
      <w:b/>
      <w:color w:val="595959" w:themeColor="text1" w:themeTint="A6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9E1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F2B"/>
  </w:style>
  <w:style w:type="paragraph" w:styleId="Footer">
    <w:name w:val="footer"/>
    <w:basedOn w:val="Normal"/>
    <w:link w:val="FooterChar"/>
    <w:uiPriority w:val="99"/>
    <w:unhideWhenUsed/>
    <w:rsid w:val="009E1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F2B"/>
  </w:style>
  <w:style w:type="paragraph" w:customStyle="1" w:styleId="TableParagraph">
    <w:name w:val="Table Paragraph"/>
    <w:basedOn w:val="Normal"/>
    <w:uiPriority w:val="1"/>
    <w:qFormat/>
    <w:rsid w:val="007D0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D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0A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E0A6C-D059-40DE-8F18-7D71C937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Theodorides</dc:creator>
  <cp:keywords/>
  <dc:description/>
  <cp:lastModifiedBy>Panayiotis Theodorides</cp:lastModifiedBy>
  <cp:revision>31</cp:revision>
  <dcterms:created xsi:type="dcterms:W3CDTF">2018-12-12T15:44:00Z</dcterms:created>
  <dcterms:modified xsi:type="dcterms:W3CDTF">2018-12-20T08:29:00Z</dcterms:modified>
</cp:coreProperties>
</file>