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53D1F" w14:textId="77777777" w:rsidR="00851EB6" w:rsidRDefault="00851EB6" w:rsidP="00851EB6">
      <w:pPr>
        <w:jc w:val="both"/>
        <w:rPr>
          <w:rFonts w:ascii="Segoe UI" w:eastAsia="Times New Roman" w:hAnsi="Segoe UI" w:cs="Segoe UI"/>
          <w:b/>
          <w:bCs/>
          <w:color w:val="000000" w:themeColor="text1"/>
          <w:sz w:val="28"/>
          <w:szCs w:val="28"/>
          <w:shd w:val="clear" w:color="auto" w:fill="FFFFFF"/>
          <w:lang w:eastAsia="en-GB"/>
        </w:rPr>
      </w:pPr>
      <w:r>
        <w:rPr>
          <w:rFonts w:ascii="Roboto" w:eastAsia="Times New Roman" w:hAnsi="Roboto" w:cs="Times New Roman"/>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76D574A6" w14:textId="2B5C97B8" w:rsidR="001E595B" w:rsidRPr="001E595B" w:rsidRDefault="001E595B" w:rsidP="00851EB6">
      <w:pPr>
        <w:jc w:val="center"/>
        <w:rPr>
          <w:rFonts w:ascii="Times New Roman" w:eastAsia="Times New Roman" w:hAnsi="Times New Roman" w:cs="Times New Roman"/>
          <w:color w:val="000000" w:themeColor="text1"/>
          <w:sz w:val="28"/>
          <w:szCs w:val="28"/>
          <w:lang w:eastAsia="en-GB"/>
        </w:rPr>
      </w:pPr>
      <w:r w:rsidRPr="001E595B">
        <w:rPr>
          <w:rFonts w:ascii="Segoe UI" w:eastAsia="Times New Roman" w:hAnsi="Segoe UI" w:cs="Segoe UI"/>
          <w:b/>
          <w:bCs/>
          <w:color w:val="000000" w:themeColor="text1"/>
          <w:sz w:val="28"/>
          <w:szCs w:val="28"/>
          <w:shd w:val="clear" w:color="auto" w:fill="FFFFFF"/>
          <w:lang w:eastAsia="en-GB"/>
        </w:rPr>
        <w:t>Διαχε</w:t>
      </w:r>
      <w:r>
        <w:rPr>
          <w:rFonts w:ascii="Segoe UI" w:eastAsia="Times New Roman" w:hAnsi="Segoe UI" w:cs="Segoe UI"/>
          <w:b/>
          <w:bCs/>
          <w:color w:val="000000" w:themeColor="text1"/>
          <w:sz w:val="28"/>
          <w:szCs w:val="28"/>
          <w:shd w:val="clear" w:color="auto" w:fill="FFFFFF"/>
          <w:lang w:val="el-GR" w:eastAsia="en-GB"/>
        </w:rPr>
        <w:t>ί</w:t>
      </w:r>
      <w:r w:rsidRPr="001E595B">
        <w:rPr>
          <w:rFonts w:ascii="Segoe UI" w:eastAsia="Times New Roman" w:hAnsi="Segoe UI" w:cs="Segoe UI"/>
          <w:b/>
          <w:bCs/>
          <w:color w:val="000000" w:themeColor="text1"/>
          <w:sz w:val="28"/>
          <w:szCs w:val="28"/>
          <w:shd w:val="clear" w:color="auto" w:fill="FFFFFF"/>
          <w:lang w:eastAsia="en-GB"/>
        </w:rPr>
        <w:t>ριση επεισοδ</w:t>
      </w:r>
      <w:r>
        <w:rPr>
          <w:rFonts w:ascii="Segoe UI" w:eastAsia="Times New Roman" w:hAnsi="Segoe UI" w:cs="Segoe UI"/>
          <w:b/>
          <w:bCs/>
          <w:color w:val="000000" w:themeColor="text1"/>
          <w:sz w:val="28"/>
          <w:szCs w:val="28"/>
          <w:shd w:val="clear" w:color="auto" w:fill="FFFFFF"/>
          <w:lang w:val="el-GR" w:eastAsia="en-GB"/>
        </w:rPr>
        <w:t>ί</w:t>
      </w:r>
      <w:r w:rsidRPr="001E595B">
        <w:rPr>
          <w:rFonts w:ascii="Segoe UI" w:eastAsia="Times New Roman" w:hAnsi="Segoe UI" w:cs="Segoe UI"/>
          <w:b/>
          <w:bCs/>
          <w:color w:val="000000" w:themeColor="text1"/>
          <w:sz w:val="28"/>
          <w:szCs w:val="28"/>
          <w:shd w:val="clear" w:color="auto" w:fill="FFFFFF"/>
          <w:lang w:eastAsia="en-GB"/>
        </w:rPr>
        <w:t xml:space="preserve">ων </w:t>
      </w:r>
      <w:r>
        <w:rPr>
          <w:rFonts w:ascii="Segoe UI" w:eastAsia="Times New Roman" w:hAnsi="Segoe UI" w:cs="Segoe UI"/>
          <w:b/>
          <w:bCs/>
          <w:color w:val="000000" w:themeColor="text1"/>
          <w:sz w:val="28"/>
          <w:szCs w:val="28"/>
          <w:shd w:val="clear" w:color="auto" w:fill="FFFFFF"/>
          <w:lang w:val="el-GR" w:eastAsia="en-GB"/>
        </w:rPr>
        <w:t>σκόνης</w:t>
      </w:r>
      <w:r w:rsidRPr="001E595B">
        <w:rPr>
          <w:rFonts w:ascii="Segoe UI" w:eastAsia="Times New Roman" w:hAnsi="Segoe UI" w:cs="Segoe UI"/>
          <w:b/>
          <w:bCs/>
          <w:color w:val="000000" w:themeColor="text1"/>
          <w:sz w:val="28"/>
          <w:szCs w:val="28"/>
          <w:shd w:val="clear" w:color="auto" w:fill="FFFFFF"/>
          <w:lang w:eastAsia="en-GB"/>
        </w:rPr>
        <w:t xml:space="preserve"> κατ</w:t>
      </w:r>
      <w:r>
        <w:rPr>
          <w:rFonts w:ascii="Segoe UI" w:eastAsia="Times New Roman" w:hAnsi="Segoe UI" w:cs="Segoe UI"/>
          <w:b/>
          <w:bCs/>
          <w:color w:val="000000" w:themeColor="text1"/>
          <w:sz w:val="28"/>
          <w:szCs w:val="28"/>
          <w:shd w:val="clear" w:color="auto" w:fill="FFFFFF"/>
          <w:lang w:val="el-GR" w:eastAsia="en-GB"/>
        </w:rPr>
        <w:t>ά</w:t>
      </w:r>
      <w:r w:rsidRPr="001E595B">
        <w:rPr>
          <w:rFonts w:ascii="Segoe UI" w:eastAsia="Times New Roman" w:hAnsi="Segoe UI" w:cs="Segoe UI"/>
          <w:b/>
          <w:bCs/>
          <w:color w:val="000000" w:themeColor="text1"/>
          <w:sz w:val="28"/>
          <w:szCs w:val="28"/>
          <w:shd w:val="clear" w:color="auto" w:fill="FFFFFF"/>
          <w:lang w:eastAsia="en-GB"/>
        </w:rPr>
        <w:t xml:space="preserve"> την </w:t>
      </w:r>
      <w:r>
        <w:rPr>
          <w:rFonts w:ascii="Segoe UI" w:eastAsia="Times New Roman" w:hAnsi="Segoe UI" w:cs="Segoe UI"/>
          <w:b/>
          <w:bCs/>
          <w:color w:val="000000" w:themeColor="text1"/>
          <w:sz w:val="28"/>
          <w:szCs w:val="28"/>
          <w:shd w:val="clear" w:color="auto" w:fill="FFFFFF"/>
          <w:lang w:val="el-GR" w:eastAsia="en-GB"/>
        </w:rPr>
        <w:t>ά</w:t>
      </w:r>
      <w:r w:rsidRPr="001E595B">
        <w:rPr>
          <w:rFonts w:ascii="Segoe UI" w:eastAsia="Times New Roman" w:hAnsi="Segoe UI" w:cs="Segoe UI"/>
          <w:b/>
          <w:bCs/>
          <w:color w:val="000000" w:themeColor="text1"/>
          <w:sz w:val="28"/>
          <w:szCs w:val="28"/>
          <w:shd w:val="clear" w:color="auto" w:fill="FFFFFF"/>
          <w:lang w:eastAsia="en-GB"/>
        </w:rPr>
        <w:t>σκηση</w:t>
      </w:r>
    </w:p>
    <w:p w14:paraId="61B54793" w14:textId="4720AB37" w:rsidR="001E595B" w:rsidRPr="00851EB6" w:rsidRDefault="001E595B" w:rsidP="00851EB6">
      <w:pPr>
        <w:shd w:val="clear" w:color="auto" w:fill="FFFFFF"/>
        <w:spacing w:after="180"/>
        <w:jc w:val="both"/>
        <w:rPr>
          <w:rFonts w:ascii="Roboto" w:eastAsia="Times New Roman" w:hAnsi="Roboto" w:cs="Times New Roman"/>
          <w:color w:val="333333"/>
          <w:lang w:val="el-GR" w:eastAsia="en-GB"/>
        </w:rPr>
      </w:pPr>
    </w:p>
    <w:p w14:paraId="2C8502DC" w14:textId="2B57C88B" w:rsidR="001E595B" w:rsidRPr="001E595B" w:rsidRDefault="001E595B" w:rsidP="00851EB6">
      <w:pPr>
        <w:shd w:val="clear" w:color="auto" w:fill="FFFFFF"/>
        <w:spacing w:after="180"/>
        <w:jc w:val="both"/>
        <w:rPr>
          <w:rFonts w:ascii="Roboto" w:eastAsia="Times New Roman" w:hAnsi="Roboto" w:cs="Times New Roman"/>
          <w:color w:val="333333"/>
          <w:lang w:eastAsia="en-GB"/>
        </w:rPr>
      </w:pPr>
      <w:r w:rsidRPr="001E595B">
        <w:rPr>
          <w:rFonts w:ascii="Roboto" w:eastAsia="Times New Roman" w:hAnsi="Roboto" w:cs="Times New Roman"/>
          <w:color w:val="333333"/>
          <w:lang w:eastAsia="en-GB"/>
        </w:rPr>
        <w:t>Τα τελευταία χρόνια έχει αυξηθεί η συχνότητα επεισοδίων σκόνης. Σε περιπτώσεις όπου παρατηρούνται υπερβάσεις των οριακών τιμών που καθορίζονται από τη σχετική νομοθεσία, το Τμήμα Επιθεώρησης Εργασίας του Υπουργείου Εργασίας και Κοινωνικών Ασφαλίσεων προβαίνει σε εκδόσεις σχετικών ανακοινώσεων με στόχο την έγκαιρη ενημέρωση του κοινού.</w:t>
      </w:r>
    </w:p>
    <w:p w14:paraId="05CB852C" w14:textId="77777777" w:rsidR="001E595B" w:rsidRPr="001E595B" w:rsidRDefault="001E595B" w:rsidP="00851EB6">
      <w:pPr>
        <w:shd w:val="clear" w:color="auto" w:fill="FFFFFF"/>
        <w:spacing w:after="180"/>
        <w:jc w:val="both"/>
        <w:rPr>
          <w:rFonts w:ascii="Roboto" w:eastAsia="Times New Roman" w:hAnsi="Roboto" w:cs="Times New Roman"/>
          <w:color w:val="333333"/>
          <w:lang w:eastAsia="en-GB"/>
        </w:rPr>
      </w:pPr>
      <w:r w:rsidRPr="001E595B">
        <w:rPr>
          <w:rFonts w:ascii="Roboto" w:eastAsia="Times New Roman" w:hAnsi="Roboto" w:cs="Times New Roman"/>
          <w:color w:val="333333"/>
          <w:lang w:eastAsia="en-GB"/>
        </w:rPr>
        <w:t>Ο Κυπριακός Οργανισμός Αθλητισμού προχώρησε στην έκδοση συστάσεων για άθληση κατά την διάρκεια επεισοδίων σκόνης με στόχο την προστασία των αθλητών και αθλουμένων, λαμβάνοντας υπόψη τις ιδιαιτερότητες που χαρακτηρίζουν την άσκηση και τη φυσική δραστηριότητα.</w:t>
      </w:r>
    </w:p>
    <w:tbl>
      <w:tblPr>
        <w:tblW w:w="19500" w:type="dxa"/>
        <w:shd w:val="clear" w:color="auto" w:fill="FFFFFF"/>
        <w:tblCellMar>
          <w:left w:w="0" w:type="dxa"/>
          <w:right w:w="0" w:type="dxa"/>
        </w:tblCellMar>
        <w:tblLook w:val="04A0" w:firstRow="1" w:lastRow="0" w:firstColumn="1" w:lastColumn="0" w:noHBand="0" w:noVBand="1"/>
      </w:tblPr>
      <w:tblGrid>
        <w:gridCol w:w="1252"/>
        <w:gridCol w:w="1468"/>
        <w:gridCol w:w="910"/>
        <w:gridCol w:w="15870"/>
      </w:tblGrid>
      <w:tr w:rsidR="001E595B" w:rsidRPr="001E595B" w14:paraId="3226B6AB" w14:textId="77777777" w:rsidTr="00CB675D">
        <w:tc>
          <w:tcPr>
            <w:tcW w:w="0" w:type="auto"/>
            <w:tcBorders>
              <w:top w:val="nil"/>
              <w:left w:val="nil"/>
              <w:bottom w:val="nil"/>
              <w:right w:val="single" w:sz="6" w:space="0" w:color="CDCDCD"/>
            </w:tcBorders>
            <w:shd w:val="clear" w:color="auto" w:fill="FFFFFF"/>
            <w:tcMar>
              <w:top w:w="240" w:type="dxa"/>
              <w:left w:w="105" w:type="dxa"/>
              <w:bottom w:w="240" w:type="dxa"/>
              <w:right w:w="105" w:type="dxa"/>
            </w:tcMar>
            <w:vAlign w:val="bottom"/>
            <w:hideMark/>
          </w:tcPr>
          <w:p w14:paraId="7ECE5E19" w14:textId="77777777" w:rsidR="001E595B" w:rsidRPr="001E595B" w:rsidRDefault="001E595B" w:rsidP="00851EB6">
            <w:pPr>
              <w:jc w:val="both"/>
              <w:rPr>
                <w:rFonts w:ascii="Arial" w:eastAsia="Times New Roman" w:hAnsi="Arial" w:cs="Arial"/>
                <w:b/>
                <w:bCs/>
                <w:color w:val="212529"/>
                <w:sz w:val="20"/>
                <w:szCs w:val="20"/>
                <w:lang w:eastAsia="en-GB"/>
              </w:rPr>
            </w:pPr>
            <w:r w:rsidRPr="001E595B">
              <w:rPr>
                <w:rFonts w:ascii="Arial" w:eastAsia="Times New Roman" w:hAnsi="Arial" w:cs="Arial"/>
                <w:b/>
                <w:bCs/>
                <w:color w:val="212529"/>
                <w:sz w:val="20"/>
                <w:szCs w:val="20"/>
                <w:lang w:eastAsia="en-GB"/>
              </w:rPr>
              <w:t>ΚΙΝΔΥΝΟΣ</w:t>
            </w:r>
          </w:p>
        </w:tc>
        <w:tc>
          <w:tcPr>
            <w:tcW w:w="0" w:type="auto"/>
            <w:tcBorders>
              <w:top w:val="nil"/>
              <w:left w:val="nil"/>
              <w:bottom w:val="nil"/>
              <w:right w:val="single" w:sz="6" w:space="0" w:color="CDCDCD"/>
            </w:tcBorders>
            <w:shd w:val="clear" w:color="auto" w:fill="FFFFFF"/>
            <w:tcMar>
              <w:top w:w="240" w:type="dxa"/>
              <w:left w:w="105" w:type="dxa"/>
              <w:bottom w:w="240" w:type="dxa"/>
              <w:right w:w="105" w:type="dxa"/>
            </w:tcMar>
            <w:vAlign w:val="bottom"/>
            <w:hideMark/>
          </w:tcPr>
          <w:p w14:paraId="4DFCEAAE" w14:textId="77777777" w:rsidR="001E595B" w:rsidRPr="001E595B" w:rsidRDefault="001E595B" w:rsidP="00851EB6">
            <w:pPr>
              <w:jc w:val="both"/>
              <w:rPr>
                <w:rFonts w:ascii="Arial" w:eastAsia="Times New Roman" w:hAnsi="Arial" w:cs="Arial"/>
                <w:b/>
                <w:bCs/>
                <w:color w:val="212529"/>
                <w:sz w:val="20"/>
                <w:szCs w:val="20"/>
                <w:lang w:eastAsia="en-GB"/>
              </w:rPr>
            </w:pPr>
            <w:r w:rsidRPr="001E595B">
              <w:rPr>
                <w:rFonts w:ascii="Arial" w:eastAsia="Times New Roman" w:hAnsi="Arial" w:cs="Arial"/>
                <w:b/>
                <w:bCs/>
                <w:color w:val="212529"/>
                <w:sz w:val="20"/>
                <w:szCs w:val="20"/>
                <w:lang w:eastAsia="en-GB"/>
              </w:rPr>
              <w:t>ΧΡΩΜΑ</w:t>
            </w:r>
          </w:p>
        </w:tc>
        <w:tc>
          <w:tcPr>
            <w:tcW w:w="0" w:type="auto"/>
            <w:tcBorders>
              <w:top w:val="nil"/>
              <w:left w:val="nil"/>
              <w:bottom w:val="nil"/>
              <w:right w:val="single" w:sz="6" w:space="0" w:color="CDCDCD"/>
            </w:tcBorders>
            <w:shd w:val="clear" w:color="auto" w:fill="FFFFFF"/>
            <w:tcMar>
              <w:top w:w="240" w:type="dxa"/>
              <w:left w:w="105" w:type="dxa"/>
              <w:bottom w:w="240" w:type="dxa"/>
              <w:right w:w="105" w:type="dxa"/>
            </w:tcMar>
            <w:vAlign w:val="bottom"/>
            <w:hideMark/>
          </w:tcPr>
          <w:p w14:paraId="7AC3E9F4" w14:textId="77777777" w:rsidR="001E595B" w:rsidRPr="001E595B" w:rsidRDefault="001E595B" w:rsidP="00851EB6">
            <w:pPr>
              <w:jc w:val="both"/>
              <w:rPr>
                <w:rFonts w:ascii="Arial" w:eastAsia="Times New Roman" w:hAnsi="Arial" w:cs="Arial"/>
                <w:b/>
                <w:bCs/>
                <w:color w:val="212529"/>
                <w:sz w:val="20"/>
                <w:szCs w:val="20"/>
                <w:lang w:eastAsia="en-GB"/>
              </w:rPr>
            </w:pPr>
            <w:r w:rsidRPr="001E595B">
              <w:rPr>
                <w:rFonts w:ascii="Arial" w:eastAsia="Times New Roman" w:hAnsi="Arial" w:cs="Arial"/>
                <w:b/>
                <w:bCs/>
                <w:color w:val="212529"/>
                <w:sz w:val="20"/>
                <w:szCs w:val="20"/>
                <w:lang w:eastAsia="en-GB"/>
              </w:rPr>
              <w:t>μg/m3</w:t>
            </w:r>
          </w:p>
        </w:tc>
        <w:tc>
          <w:tcPr>
            <w:tcW w:w="0" w:type="auto"/>
            <w:tcBorders>
              <w:top w:val="nil"/>
              <w:left w:val="nil"/>
              <w:bottom w:val="nil"/>
              <w:right w:val="single" w:sz="6" w:space="0" w:color="CDCDCD"/>
            </w:tcBorders>
            <w:shd w:val="clear" w:color="auto" w:fill="FFFFFF"/>
            <w:tcMar>
              <w:top w:w="240" w:type="dxa"/>
              <w:left w:w="105" w:type="dxa"/>
              <w:bottom w:w="240" w:type="dxa"/>
              <w:right w:w="105" w:type="dxa"/>
            </w:tcMar>
            <w:vAlign w:val="bottom"/>
            <w:hideMark/>
          </w:tcPr>
          <w:p w14:paraId="48F32030" w14:textId="77777777" w:rsidR="001E595B" w:rsidRPr="001E595B" w:rsidRDefault="001E595B" w:rsidP="00851EB6">
            <w:pPr>
              <w:jc w:val="both"/>
              <w:rPr>
                <w:rFonts w:ascii="Arial" w:eastAsia="Times New Roman" w:hAnsi="Arial" w:cs="Arial"/>
                <w:b/>
                <w:bCs/>
                <w:color w:val="212529"/>
                <w:sz w:val="20"/>
                <w:szCs w:val="20"/>
                <w:lang w:eastAsia="en-GB"/>
              </w:rPr>
            </w:pPr>
            <w:r w:rsidRPr="001E595B">
              <w:rPr>
                <w:rFonts w:ascii="Arial" w:eastAsia="Times New Roman" w:hAnsi="Arial" w:cs="Arial"/>
                <w:b/>
                <w:bCs/>
                <w:color w:val="212529"/>
                <w:sz w:val="20"/>
                <w:szCs w:val="20"/>
                <w:lang w:eastAsia="en-GB"/>
              </w:rPr>
              <w:t>ΣΥΣΤΑΣΕΙΣ ΚΑΙ ΟΔΗΓΙΕΣ</w:t>
            </w:r>
          </w:p>
        </w:tc>
      </w:tr>
      <w:tr w:rsidR="001E595B" w:rsidRPr="001E595B" w14:paraId="1EEA6397" w14:textId="77777777" w:rsidTr="00CB675D">
        <w:tc>
          <w:tcPr>
            <w:tcW w:w="0" w:type="auto"/>
            <w:tcBorders>
              <w:top w:val="single" w:sz="6" w:space="0" w:color="DDDDDD"/>
              <w:left w:val="single" w:sz="6" w:space="0" w:color="DDDDDD"/>
              <w:bottom w:val="single" w:sz="6" w:space="0" w:color="DDDDDD"/>
              <w:right w:val="single" w:sz="6" w:space="0" w:color="DDDDDD"/>
            </w:tcBorders>
            <w:shd w:val="clear" w:color="auto" w:fill="DDDDDD"/>
            <w:tcMar>
              <w:top w:w="75" w:type="dxa"/>
              <w:left w:w="150" w:type="dxa"/>
              <w:bottom w:w="75" w:type="dxa"/>
              <w:right w:w="150" w:type="dxa"/>
            </w:tcMar>
            <w:vAlign w:val="bottom"/>
            <w:hideMark/>
          </w:tcPr>
          <w:p w14:paraId="123A80CF"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1</w:t>
            </w:r>
          </w:p>
        </w:tc>
        <w:tc>
          <w:tcPr>
            <w:tcW w:w="0" w:type="auto"/>
            <w:tcBorders>
              <w:top w:val="single" w:sz="6" w:space="0" w:color="DDDDDD"/>
              <w:left w:val="single" w:sz="6" w:space="0" w:color="DDDDDD"/>
              <w:bottom w:val="single" w:sz="6" w:space="0" w:color="DDDDDD"/>
              <w:right w:val="single" w:sz="6" w:space="0" w:color="DDDDDD"/>
            </w:tcBorders>
            <w:shd w:val="clear" w:color="auto" w:fill="DDDDDD"/>
            <w:tcMar>
              <w:top w:w="75" w:type="dxa"/>
              <w:left w:w="150" w:type="dxa"/>
              <w:bottom w:w="75" w:type="dxa"/>
              <w:right w:w="150" w:type="dxa"/>
            </w:tcMar>
            <w:vAlign w:val="bottom"/>
            <w:hideMark/>
          </w:tcPr>
          <w:p w14:paraId="696C5200"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ΠΡΑΣΙΝΟ</w:t>
            </w:r>
          </w:p>
        </w:tc>
        <w:tc>
          <w:tcPr>
            <w:tcW w:w="0" w:type="auto"/>
            <w:tcBorders>
              <w:top w:val="single" w:sz="6" w:space="0" w:color="DDDDDD"/>
              <w:left w:val="single" w:sz="6" w:space="0" w:color="DDDDDD"/>
              <w:bottom w:val="single" w:sz="6" w:space="0" w:color="DDDDDD"/>
              <w:right w:val="single" w:sz="6" w:space="0" w:color="DDDDDD"/>
            </w:tcBorders>
            <w:shd w:val="clear" w:color="auto" w:fill="DDDDDD"/>
            <w:tcMar>
              <w:top w:w="75" w:type="dxa"/>
              <w:left w:w="150" w:type="dxa"/>
              <w:bottom w:w="75" w:type="dxa"/>
              <w:right w:w="150" w:type="dxa"/>
            </w:tcMar>
            <w:vAlign w:val="bottom"/>
            <w:hideMark/>
          </w:tcPr>
          <w:p w14:paraId="7B92AACE"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0-50</w:t>
            </w:r>
          </w:p>
        </w:tc>
        <w:tc>
          <w:tcPr>
            <w:tcW w:w="0" w:type="auto"/>
            <w:tcBorders>
              <w:top w:val="single" w:sz="6" w:space="0" w:color="DDDDDD"/>
              <w:left w:val="single" w:sz="6" w:space="0" w:color="DDDDDD"/>
              <w:bottom w:val="single" w:sz="6" w:space="0" w:color="DDDDDD"/>
              <w:right w:val="single" w:sz="6" w:space="0" w:color="DDDDDD"/>
            </w:tcBorders>
            <w:shd w:val="clear" w:color="auto" w:fill="DDDDDD"/>
            <w:tcMar>
              <w:top w:w="75" w:type="dxa"/>
              <w:left w:w="150" w:type="dxa"/>
              <w:bottom w:w="75" w:type="dxa"/>
              <w:right w:w="150" w:type="dxa"/>
            </w:tcMar>
            <w:vAlign w:val="bottom"/>
            <w:hideMark/>
          </w:tcPr>
          <w:p w14:paraId="44AF94C0"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Η άσκηση ενδείκνυται για όλους, χωρίς περιορισμούς.</w:t>
            </w:r>
          </w:p>
        </w:tc>
      </w:tr>
      <w:tr w:rsidR="001E595B" w:rsidRPr="001E595B" w14:paraId="251F0BCD" w14:textId="77777777" w:rsidTr="00CB675D">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bottom"/>
            <w:hideMark/>
          </w:tcPr>
          <w:p w14:paraId="20FB6988"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2</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bottom"/>
            <w:hideMark/>
          </w:tcPr>
          <w:p w14:paraId="680C396E"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ΚΙΤΡΙΝΟ</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bottom"/>
            <w:hideMark/>
          </w:tcPr>
          <w:p w14:paraId="3804258D"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50-100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bottom"/>
            <w:hideMark/>
          </w:tcPr>
          <w:p w14:paraId="12215DFA"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Η άσκηση ενδείκνυται με προσοχή και επίβλεψη στα άτομα με ευαισθησία στην σκόνη ή με υποκείμενα νοσήματα.</w:t>
            </w:r>
          </w:p>
        </w:tc>
      </w:tr>
      <w:tr w:rsidR="001E595B" w:rsidRPr="001E595B" w14:paraId="19F678C6" w14:textId="77777777" w:rsidTr="00CB675D">
        <w:tc>
          <w:tcPr>
            <w:tcW w:w="0" w:type="auto"/>
            <w:tcBorders>
              <w:top w:val="single" w:sz="6" w:space="0" w:color="DDDDDD"/>
              <w:left w:val="single" w:sz="6" w:space="0" w:color="DDDDDD"/>
              <w:bottom w:val="single" w:sz="6" w:space="0" w:color="DDDDDD"/>
              <w:right w:val="single" w:sz="6" w:space="0" w:color="DDDDDD"/>
            </w:tcBorders>
            <w:shd w:val="clear" w:color="auto" w:fill="DDDDDD"/>
            <w:tcMar>
              <w:top w:w="75" w:type="dxa"/>
              <w:left w:w="150" w:type="dxa"/>
              <w:bottom w:w="75" w:type="dxa"/>
              <w:right w:w="150" w:type="dxa"/>
            </w:tcMar>
            <w:vAlign w:val="bottom"/>
            <w:hideMark/>
          </w:tcPr>
          <w:p w14:paraId="331471FE"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3</w:t>
            </w:r>
          </w:p>
        </w:tc>
        <w:tc>
          <w:tcPr>
            <w:tcW w:w="0" w:type="auto"/>
            <w:tcBorders>
              <w:top w:val="single" w:sz="6" w:space="0" w:color="DDDDDD"/>
              <w:left w:val="single" w:sz="6" w:space="0" w:color="DDDDDD"/>
              <w:bottom w:val="single" w:sz="6" w:space="0" w:color="DDDDDD"/>
              <w:right w:val="single" w:sz="6" w:space="0" w:color="DDDDDD"/>
            </w:tcBorders>
            <w:shd w:val="clear" w:color="auto" w:fill="DDDDDD"/>
            <w:tcMar>
              <w:top w:w="75" w:type="dxa"/>
              <w:left w:w="150" w:type="dxa"/>
              <w:bottom w:w="75" w:type="dxa"/>
              <w:right w:w="150" w:type="dxa"/>
            </w:tcMar>
            <w:vAlign w:val="bottom"/>
            <w:hideMark/>
          </w:tcPr>
          <w:p w14:paraId="3265F1CB"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ΠΟΡΤΟΚΑΛΙ</w:t>
            </w:r>
          </w:p>
        </w:tc>
        <w:tc>
          <w:tcPr>
            <w:tcW w:w="0" w:type="auto"/>
            <w:tcBorders>
              <w:top w:val="single" w:sz="6" w:space="0" w:color="DDDDDD"/>
              <w:left w:val="single" w:sz="6" w:space="0" w:color="DDDDDD"/>
              <w:bottom w:val="single" w:sz="6" w:space="0" w:color="DDDDDD"/>
              <w:right w:val="single" w:sz="6" w:space="0" w:color="DDDDDD"/>
            </w:tcBorders>
            <w:shd w:val="clear" w:color="auto" w:fill="DDDDDD"/>
            <w:tcMar>
              <w:top w:w="75" w:type="dxa"/>
              <w:left w:w="150" w:type="dxa"/>
              <w:bottom w:w="75" w:type="dxa"/>
              <w:right w:w="150" w:type="dxa"/>
            </w:tcMar>
            <w:vAlign w:val="bottom"/>
            <w:hideMark/>
          </w:tcPr>
          <w:p w14:paraId="0BF9CE65"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100-150</w:t>
            </w:r>
          </w:p>
        </w:tc>
        <w:tc>
          <w:tcPr>
            <w:tcW w:w="0" w:type="auto"/>
            <w:tcBorders>
              <w:top w:val="single" w:sz="6" w:space="0" w:color="DDDDDD"/>
              <w:left w:val="single" w:sz="6" w:space="0" w:color="DDDDDD"/>
              <w:bottom w:val="single" w:sz="6" w:space="0" w:color="DDDDDD"/>
              <w:right w:val="single" w:sz="6" w:space="0" w:color="DDDDDD"/>
            </w:tcBorders>
            <w:shd w:val="clear" w:color="auto" w:fill="DDDDDD"/>
            <w:tcMar>
              <w:top w:w="75" w:type="dxa"/>
              <w:left w:w="150" w:type="dxa"/>
              <w:bottom w:w="75" w:type="dxa"/>
              <w:right w:w="150" w:type="dxa"/>
            </w:tcMar>
            <w:vAlign w:val="bottom"/>
            <w:hideMark/>
          </w:tcPr>
          <w:p w14:paraId="096F9D69"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Η άσκηση δεν συστήνεται στα υγιή άτομα και δεν ενδείκνυται στα άτομα με ευαισθησία στην σκόνη ή με υποκείμενα νοσήματα.</w:t>
            </w:r>
          </w:p>
        </w:tc>
      </w:tr>
      <w:tr w:rsidR="001E595B" w:rsidRPr="001E595B" w14:paraId="52FCEA04" w14:textId="77777777" w:rsidTr="00CB675D">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bottom"/>
            <w:hideMark/>
          </w:tcPr>
          <w:p w14:paraId="1F83FD2D"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4</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bottom"/>
            <w:hideMark/>
          </w:tcPr>
          <w:p w14:paraId="2594787F"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ΚΟΚΚΙΝΟ</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bottom"/>
            <w:hideMark/>
          </w:tcPr>
          <w:p w14:paraId="4BDF6F1C"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&gt;150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vAlign w:val="bottom"/>
            <w:hideMark/>
          </w:tcPr>
          <w:p w14:paraId="55B6703E" w14:textId="77777777" w:rsidR="001E595B" w:rsidRPr="001E595B" w:rsidRDefault="001E595B" w:rsidP="00851EB6">
            <w:pPr>
              <w:jc w:val="both"/>
              <w:rPr>
                <w:rFonts w:ascii="Arial" w:eastAsia="Times New Roman" w:hAnsi="Arial" w:cs="Arial"/>
                <w:color w:val="212529"/>
                <w:sz w:val="20"/>
                <w:szCs w:val="20"/>
                <w:lang w:eastAsia="en-GB"/>
              </w:rPr>
            </w:pPr>
            <w:r w:rsidRPr="001E595B">
              <w:rPr>
                <w:rFonts w:ascii="Arial" w:eastAsia="Times New Roman" w:hAnsi="Arial" w:cs="Arial"/>
                <w:color w:val="212529"/>
                <w:sz w:val="20"/>
                <w:szCs w:val="20"/>
                <w:lang w:eastAsia="en-GB"/>
              </w:rPr>
              <w:t>Η άσκηση δεν ενδείκνυται για κανένα, σε εξωτερικό χώρο Σημειώνεται ότι «σκόνη» σημαίνει εισπνεύσιμα αιωρούμενα σωματίδια στην ατμόσφαιρα με διάμετρο μικρότερη των 10 μm (PM10). Σύμφωνα με τη σχετική νομοθεσία η οριακή τιμή αναφέρεται στη μέση ημερήσια τιμή και δεν πρέπει να υπερβαίνει την τιμή των 50 μg/m3 (μικρογραμμάρια ανά κυβικό μέτρο).</w:t>
            </w:r>
          </w:p>
        </w:tc>
      </w:tr>
    </w:tbl>
    <w:p w14:paraId="4BAA8015" w14:textId="77777777" w:rsidR="001E595B" w:rsidRPr="001E595B" w:rsidRDefault="001E595B" w:rsidP="00851EB6">
      <w:pPr>
        <w:jc w:val="both"/>
        <w:rPr>
          <w:rFonts w:ascii="Times New Roman" w:eastAsia="Times New Roman" w:hAnsi="Times New Roman" w:cs="Times New Roman"/>
          <w:lang w:eastAsia="en-GB"/>
        </w:rPr>
      </w:pPr>
    </w:p>
    <w:p w14:paraId="7E6882CF" w14:textId="77777777" w:rsidR="001E595B" w:rsidRPr="001E595B" w:rsidRDefault="001E595B" w:rsidP="00851EB6">
      <w:pPr>
        <w:jc w:val="both"/>
        <w:rPr>
          <w:rFonts w:ascii="Times New Roman" w:eastAsia="Times New Roman" w:hAnsi="Times New Roman" w:cs="Times New Roman"/>
          <w:lang w:eastAsia="en-GB"/>
        </w:rPr>
      </w:pPr>
      <w:r w:rsidRPr="001E595B">
        <w:rPr>
          <w:rFonts w:ascii="Open Sans" w:eastAsia="Times New Roman" w:hAnsi="Open Sans" w:cs="Open Sans"/>
          <w:color w:val="777777"/>
          <w:shd w:val="clear" w:color="auto" w:fill="FFFFFF"/>
          <w:lang w:eastAsia="en-GB"/>
        </w:rPr>
        <w:t xml:space="preserve">Σημειώνεται ότι «σκόνη» σημαίνει εισπνεύσιμα αιωρούμενα σωματίδια στην ατμόσφαιρα με διάμετρο μικρότερη των 10 μm (PM10). Σύμφωνα με τη σχετική νομοθεσία η οριακή τιμή αναφέρεται στη μέση ημερήσια τιμή και δεν πρέπει να υπερβαίνει την τιμή των 50 μg/m3 (μικρογραμμάρια ανά κυβικό μέτρο). </w:t>
      </w:r>
    </w:p>
    <w:p w14:paraId="77471E60" w14:textId="77777777" w:rsidR="001E595B" w:rsidRPr="001E595B" w:rsidRDefault="001E595B" w:rsidP="00851EB6">
      <w:pPr>
        <w:shd w:val="clear" w:color="auto" w:fill="FFFFFF"/>
        <w:spacing w:after="180"/>
        <w:jc w:val="both"/>
        <w:rPr>
          <w:rFonts w:ascii="Roboto" w:eastAsia="Times New Roman" w:hAnsi="Roboto" w:cs="Times New Roman"/>
          <w:color w:val="333333"/>
          <w:lang w:eastAsia="en-GB"/>
        </w:rPr>
      </w:pPr>
      <w:r w:rsidRPr="001E595B">
        <w:rPr>
          <w:rFonts w:ascii="Roboto" w:eastAsia="Times New Roman" w:hAnsi="Roboto" w:cs="Times New Roman"/>
          <w:color w:val="333333"/>
          <w:lang w:eastAsia="en-GB"/>
        </w:rPr>
        <w:t> </w:t>
      </w:r>
    </w:p>
    <w:p w14:paraId="7E6541BB" w14:textId="77777777" w:rsidR="001E595B" w:rsidRPr="001E595B" w:rsidRDefault="001E595B" w:rsidP="00851EB6">
      <w:pPr>
        <w:shd w:val="clear" w:color="auto" w:fill="FFFFFF"/>
        <w:spacing w:after="180"/>
        <w:jc w:val="both"/>
        <w:rPr>
          <w:rFonts w:ascii="Roboto" w:eastAsia="Times New Roman" w:hAnsi="Roboto" w:cs="Times New Roman"/>
          <w:color w:val="333333"/>
          <w:lang w:eastAsia="en-GB"/>
        </w:rPr>
      </w:pPr>
      <w:r w:rsidRPr="001E595B">
        <w:rPr>
          <w:rFonts w:ascii="Roboto" w:eastAsia="Times New Roman" w:hAnsi="Roboto" w:cs="Times New Roman"/>
          <w:b/>
          <w:bCs/>
          <w:color w:val="333333"/>
          <w:lang w:eastAsia="en-GB"/>
        </w:rPr>
        <w:lastRenderedPageBreak/>
        <w:t>Κυπριακός Οργανισμός Αθλητισμού</w:t>
      </w:r>
      <w:r w:rsidRPr="001E595B">
        <w:rPr>
          <w:rFonts w:ascii="Roboto" w:eastAsia="Times New Roman" w:hAnsi="Roboto" w:cs="Times New Roman"/>
          <w:b/>
          <w:bCs/>
          <w:color w:val="333333"/>
          <w:lang w:eastAsia="en-GB"/>
        </w:rPr>
        <w:br/>
        <w:t>Μάιος 2022</w:t>
      </w:r>
    </w:p>
    <w:p w14:paraId="30FA9C30" w14:textId="77777777" w:rsidR="001E595B" w:rsidRDefault="001E595B" w:rsidP="00851EB6">
      <w:pPr>
        <w:jc w:val="both"/>
      </w:pPr>
    </w:p>
    <w:sectPr w:rsidR="001E59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E595B"/>
    <w:rsid w:val="004A61BB"/>
    <w:rsid w:val="00851EB6"/>
    <w:rsid w:val="00CB675D"/>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256</Words>
  <Characters>1460</Characters>
  <Application>Microsoft Office Word</Application>
  <DocSecurity>0</DocSecurity>
  <Lines>12</Lines>
  <Paragraphs>3</Paragraphs>
  <ScaleCrop>false</ScaleCrop>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2022-07-18T08:16:00Z</dcterms:created>
  <dcterms:modified xsi:type="dcterms:W3CDTF">2022-07-18T08:21:00Z</dcterms:modified>
</cp:coreProperties>
</file>